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DEDC" w14:textId="77777777" w:rsidR="00E83C07" w:rsidRPr="002C50F6" w:rsidRDefault="00CE2F22" w:rsidP="00261695">
      <w:pPr>
        <w:spacing w:line="360" w:lineRule="auto"/>
        <w:jc w:val="center"/>
        <w:rPr>
          <w:rFonts w:ascii="Palatino Linotype" w:hAnsi="Palatino Linotype" w:cs="Times New Roman"/>
          <w:b/>
        </w:rPr>
      </w:pPr>
      <w:r w:rsidRPr="002C50F6">
        <w:rPr>
          <w:rFonts w:ascii="Palatino Linotype" w:hAnsi="Palatino Linotype" w:cs="Times New Roman"/>
          <w:b/>
        </w:rPr>
        <w:t>…………AĞIR CEZA MAHKEMESİ BAŞKANLIĞINA</w:t>
      </w:r>
    </w:p>
    <w:p w14:paraId="01B68793" w14:textId="05D99372" w:rsidR="00745D10" w:rsidRPr="002C50F6" w:rsidRDefault="00745D10" w:rsidP="00261695">
      <w:pPr>
        <w:spacing w:line="360" w:lineRule="auto"/>
        <w:jc w:val="center"/>
        <w:rPr>
          <w:rFonts w:ascii="Palatino Linotype" w:hAnsi="Palatino Linotype" w:cs="Times New Roman"/>
          <w:b/>
        </w:rPr>
      </w:pPr>
      <w:r w:rsidRPr="002C50F6">
        <w:rPr>
          <w:rFonts w:ascii="Palatino Linotype" w:hAnsi="Palatino Linotype" w:cs="Times New Roman"/>
          <w:b/>
          <w:highlight w:val="yellow"/>
        </w:rPr>
        <w:t>(</w:t>
      </w:r>
      <w:r w:rsidR="00E62FD3" w:rsidRPr="002C50F6">
        <w:rPr>
          <w:rFonts w:ascii="Palatino Linotype" w:hAnsi="Palatino Linotype" w:cs="Times New Roman"/>
          <w:b/>
          <w:highlight w:val="yellow"/>
        </w:rPr>
        <w:t>Hükmü veren</w:t>
      </w:r>
      <w:r w:rsidRPr="002C50F6">
        <w:rPr>
          <w:rFonts w:ascii="Palatino Linotype" w:hAnsi="Palatino Linotype" w:cs="Times New Roman"/>
          <w:b/>
          <w:highlight w:val="yellow"/>
        </w:rPr>
        <w:t xml:space="preserve"> ilk derece ağır ceza mahkemesi</w:t>
      </w:r>
      <w:r w:rsidR="00E40DC4" w:rsidRPr="002C50F6">
        <w:rPr>
          <w:rFonts w:ascii="Palatino Linotype" w:hAnsi="Palatino Linotype" w:cs="Times New Roman"/>
          <w:b/>
          <w:highlight w:val="yellow"/>
        </w:rPr>
        <w:t>nin</w:t>
      </w:r>
      <w:r w:rsidRPr="002C50F6">
        <w:rPr>
          <w:rFonts w:ascii="Palatino Linotype" w:hAnsi="Palatino Linotype" w:cs="Times New Roman"/>
          <w:b/>
          <w:highlight w:val="yellow"/>
        </w:rPr>
        <w:t xml:space="preserve"> adı yazıl</w:t>
      </w:r>
      <w:r w:rsidR="002C50F6" w:rsidRPr="002C50F6">
        <w:rPr>
          <w:rFonts w:ascii="Palatino Linotype" w:hAnsi="Palatino Linotype" w:cs="Times New Roman"/>
          <w:b/>
          <w:highlight w:val="yellow"/>
        </w:rPr>
        <w:t>malı</w:t>
      </w:r>
      <w:r w:rsidRPr="002C50F6">
        <w:rPr>
          <w:rFonts w:ascii="Palatino Linotype" w:hAnsi="Palatino Linotype" w:cs="Times New Roman"/>
          <w:b/>
          <w:highlight w:val="yellow"/>
        </w:rPr>
        <w:t>)</w:t>
      </w:r>
    </w:p>
    <w:p w14:paraId="265B20A3" w14:textId="77777777" w:rsidR="002C50F6" w:rsidRPr="002C50F6" w:rsidRDefault="00B76022" w:rsidP="002C50F6">
      <w:pPr>
        <w:spacing w:line="360" w:lineRule="auto"/>
        <w:jc w:val="center"/>
        <w:rPr>
          <w:rFonts w:ascii="Palatino Linotype" w:hAnsi="Palatino Linotype" w:cs="Times New Roman"/>
          <w:b/>
        </w:rPr>
      </w:pPr>
      <w:r w:rsidRPr="002C50F6">
        <w:rPr>
          <w:rFonts w:ascii="Palatino Linotype" w:hAnsi="Palatino Linotype" w:cs="Times New Roman"/>
          <w:b/>
        </w:rPr>
        <w:t xml:space="preserve">                                                     </w:t>
      </w:r>
      <w:r w:rsidR="002C50F6" w:rsidRPr="002C50F6">
        <w:rPr>
          <w:rFonts w:ascii="Palatino Linotype" w:hAnsi="Palatino Linotype" w:cs="Times New Roman"/>
          <w:b/>
        </w:rPr>
        <w:t xml:space="preserve">                                                                                      </w:t>
      </w:r>
    </w:p>
    <w:p w14:paraId="5A79EFFA" w14:textId="5CFF5C4A" w:rsidR="00B76022" w:rsidRDefault="002C50F6" w:rsidP="002C50F6">
      <w:pPr>
        <w:spacing w:line="360" w:lineRule="auto"/>
        <w:rPr>
          <w:rFonts w:ascii="Palatino Linotype" w:hAnsi="Palatino Linotype" w:cs="Times New Roman"/>
          <w:b/>
        </w:rPr>
      </w:pPr>
      <w:r w:rsidRPr="002C50F6">
        <w:rPr>
          <w:rFonts w:ascii="Palatino Linotype" w:hAnsi="Palatino Linotype" w:cs="Times New Roman"/>
          <w:b/>
        </w:rPr>
        <w:t xml:space="preserve"> </w:t>
      </w:r>
      <w:r w:rsidR="00B76022" w:rsidRPr="002C50F6">
        <w:rPr>
          <w:rFonts w:ascii="Palatino Linotype" w:hAnsi="Palatino Linotype" w:cs="Times New Roman"/>
          <w:b/>
          <w:u w:val="thick"/>
        </w:rPr>
        <w:t xml:space="preserve">Dosya </w:t>
      </w:r>
      <w:r w:rsidRPr="002C50F6">
        <w:rPr>
          <w:rFonts w:ascii="Palatino Linotype" w:hAnsi="Palatino Linotype" w:cs="Times New Roman"/>
          <w:b/>
          <w:u w:val="thick"/>
        </w:rPr>
        <w:t>N</w:t>
      </w:r>
      <w:r w:rsidR="00B76022" w:rsidRPr="002C50F6">
        <w:rPr>
          <w:rFonts w:ascii="Palatino Linotype" w:hAnsi="Palatino Linotype" w:cs="Times New Roman"/>
          <w:b/>
          <w:u w:val="thick"/>
        </w:rPr>
        <w:t>o</w:t>
      </w:r>
      <w:r w:rsidR="00B76022" w:rsidRPr="002C50F6">
        <w:rPr>
          <w:rFonts w:ascii="Palatino Linotype" w:hAnsi="Palatino Linotype" w:cs="Times New Roman"/>
          <w:b/>
          <w:u w:val="single"/>
        </w:rPr>
        <w:t>:</w:t>
      </w:r>
      <w:r w:rsidR="00B76022" w:rsidRPr="002C50F6">
        <w:rPr>
          <w:rFonts w:ascii="Palatino Linotype" w:hAnsi="Palatino Linotype" w:cs="Times New Roman"/>
          <w:b/>
        </w:rPr>
        <w:t>…/</w:t>
      </w:r>
      <w:r w:rsidRPr="002C50F6">
        <w:rPr>
          <w:rFonts w:ascii="Palatino Linotype" w:hAnsi="Palatino Linotype" w:cs="Times New Roman"/>
          <w:b/>
        </w:rPr>
        <w:t>..</w:t>
      </w:r>
      <w:r w:rsidR="00B76022" w:rsidRPr="002C50F6">
        <w:rPr>
          <w:rFonts w:ascii="Palatino Linotype" w:hAnsi="Palatino Linotype" w:cs="Times New Roman"/>
          <w:b/>
        </w:rPr>
        <w:t>.E,/</w:t>
      </w:r>
      <w:r w:rsidRPr="002C50F6">
        <w:rPr>
          <w:rFonts w:ascii="Palatino Linotype" w:hAnsi="Palatino Linotype" w:cs="Times New Roman"/>
          <w:b/>
        </w:rPr>
        <w:t xml:space="preserve">… K. </w:t>
      </w:r>
      <w:r w:rsidR="00745D10" w:rsidRPr="002C50F6">
        <w:rPr>
          <w:rFonts w:ascii="Palatino Linotype" w:hAnsi="Palatino Linotype" w:cs="Times New Roman"/>
          <w:b/>
        </w:rPr>
        <w:t xml:space="preserve"> </w:t>
      </w:r>
      <w:r w:rsidR="00745D10" w:rsidRPr="002C50F6">
        <w:rPr>
          <w:rFonts w:ascii="Palatino Linotype" w:hAnsi="Palatino Linotype" w:cs="Times New Roman"/>
          <w:b/>
          <w:highlight w:val="yellow"/>
        </w:rPr>
        <w:t>(İlk derece mahkemesi dava dosya numarası yazıl</w:t>
      </w:r>
      <w:r w:rsidRPr="002C50F6">
        <w:rPr>
          <w:rFonts w:ascii="Palatino Linotype" w:hAnsi="Palatino Linotype" w:cs="Times New Roman"/>
          <w:b/>
          <w:highlight w:val="yellow"/>
        </w:rPr>
        <w:t>malı</w:t>
      </w:r>
      <w:r w:rsidR="00745D10" w:rsidRPr="002C50F6">
        <w:rPr>
          <w:rFonts w:ascii="Palatino Linotype" w:hAnsi="Palatino Linotype" w:cs="Times New Roman"/>
          <w:b/>
          <w:highlight w:val="yellow"/>
        </w:rPr>
        <w:t>)</w:t>
      </w:r>
    </w:p>
    <w:p w14:paraId="30A466D6" w14:textId="77777777" w:rsidR="002C50F6" w:rsidRDefault="002C50F6" w:rsidP="002C50F6">
      <w:pPr>
        <w:spacing w:line="360" w:lineRule="auto"/>
        <w:rPr>
          <w:rFonts w:ascii="Palatino Linotype" w:hAnsi="Palatino Linotype" w:cs="Times New Roman"/>
          <w:b/>
        </w:rPr>
      </w:pPr>
    </w:p>
    <w:p w14:paraId="12F82576" w14:textId="77777777" w:rsidR="00B76022" w:rsidRPr="002C50F6" w:rsidRDefault="00B76022" w:rsidP="00261695">
      <w:pPr>
        <w:spacing w:line="360" w:lineRule="auto"/>
        <w:jc w:val="center"/>
        <w:rPr>
          <w:rFonts w:ascii="Palatino Linotype" w:hAnsi="Palatino Linotype" w:cs="Times New Roman"/>
          <w:b/>
        </w:rPr>
      </w:pPr>
    </w:p>
    <w:p w14:paraId="54C1D8F6" w14:textId="470BEE98" w:rsidR="00B76022" w:rsidRDefault="00854D9B" w:rsidP="00261695">
      <w:pPr>
        <w:tabs>
          <w:tab w:val="left" w:pos="3870"/>
        </w:tabs>
        <w:spacing w:line="360" w:lineRule="auto"/>
        <w:jc w:val="both"/>
        <w:rPr>
          <w:rFonts w:ascii="Palatino Linotype" w:hAnsi="Palatino Linotype" w:cs="Times New Roman"/>
          <w:b/>
        </w:rPr>
      </w:pPr>
      <w:r w:rsidRPr="002C50F6">
        <w:rPr>
          <w:rFonts w:ascii="Palatino Linotype" w:hAnsi="Palatino Linotype" w:cs="Times New Roman"/>
          <w:b/>
          <w:u w:val="thick"/>
        </w:rPr>
        <w:t>Talepte Bulunan Hükümlü</w:t>
      </w:r>
      <w:r w:rsidR="00B76022" w:rsidRPr="002C50F6">
        <w:rPr>
          <w:rFonts w:ascii="Palatino Linotype" w:hAnsi="Palatino Linotype" w:cs="Times New Roman"/>
          <w:b/>
          <w:u w:val="thick"/>
        </w:rPr>
        <w:t xml:space="preserve"> </w:t>
      </w:r>
      <w:r w:rsidR="00D97B5F" w:rsidRPr="002C50F6">
        <w:rPr>
          <w:rFonts w:ascii="Palatino Linotype" w:hAnsi="Palatino Linotype" w:cs="Times New Roman"/>
          <w:b/>
          <w:u w:val="thick"/>
        </w:rPr>
        <w:t xml:space="preserve">                </w:t>
      </w:r>
      <w:r w:rsidR="008B6FFF">
        <w:rPr>
          <w:rFonts w:ascii="Palatino Linotype" w:hAnsi="Palatino Linotype" w:cs="Times New Roman"/>
          <w:b/>
          <w:u w:val="thick"/>
        </w:rPr>
        <w:t xml:space="preserve">        </w:t>
      </w:r>
      <w:r w:rsidR="00B76022" w:rsidRPr="002C50F6">
        <w:rPr>
          <w:rFonts w:ascii="Palatino Linotype" w:hAnsi="Palatino Linotype" w:cs="Times New Roman"/>
          <w:b/>
          <w:u w:val="thick"/>
        </w:rPr>
        <w:t>:</w:t>
      </w:r>
      <w:r w:rsidR="008B6FFF">
        <w:rPr>
          <w:rFonts w:ascii="Palatino Linotype" w:hAnsi="Palatino Linotype" w:cs="Times New Roman"/>
          <w:b/>
          <w:u w:val="thick"/>
        </w:rPr>
        <w:t xml:space="preserve"> </w:t>
      </w:r>
    </w:p>
    <w:p w14:paraId="27588CE7" w14:textId="35231985" w:rsidR="008B6FFF" w:rsidRPr="002C50F6" w:rsidRDefault="008B6FFF" w:rsidP="008B6FFF">
      <w:pPr>
        <w:tabs>
          <w:tab w:val="left" w:pos="3870"/>
        </w:tabs>
        <w:spacing w:line="360" w:lineRule="auto"/>
        <w:jc w:val="both"/>
        <w:rPr>
          <w:rFonts w:ascii="Palatino Linotype" w:hAnsi="Palatino Linotype" w:cs="Times New Roman"/>
          <w:b/>
          <w:u w:val="thick"/>
        </w:rPr>
      </w:pPr>
      <w:r>
        <w:rPr>
          <w:rFonts w:ascii="Palatino Linotype" w:hAnsi="Palatino Linotype" w:cs="Times New Roman"/>
          <w:b/>
        </w:rPr>
        <w:t xml:space="preserve">Talepte Bulunan                                       : </w:t>
      </w:r>
      <w:r w:rsidRPr="008B6FFF">
        <w:rPr>
          <w:rFonts w:ascii="Palatino Linotype" w:hAnsi="Palatino Linotype" w:cs="Times New Roman"/>
          <w:b/>
          <w:highlight w:val="yellow"/>
        </w:rPr>
        <w:t>(Vasi ya da eş talepte bulunuyorsa, o kişinin bilgileri.  Eğer kişi kendisi başvuru yapacaksa bu kısmı doldurmaya gerek yok)</w:t>
      </w:r>
    </w:p>
    <w:p w14:paraId="48D626BB" w14:textId="3175AB35" w:rsidR="00A03E39" w:rsidRPr="002C50F6" w:rsidRDefault="00D97B5F" w:rsidP="00261695">
      <w:pPr>
        <w:tabs>
          <w:tab w:val="left" w:pos="3780"/>
        </w:tabs>
        <w:spacing w:line="360" w:lineRule="auto"/>
        <w:ind w:left="3960" w:hanging="3960"/>
        <w:jc w:val="both"/>
        <w:rPr>
          <w:rFonts w:ascii="Palatino Linotype" w:hAnsi="Palatino Linotype" w:cs="Times New Roman"/>
          <w:iCs/>
          <w:lang w:val="tr"/>
        </w:rPr>
      </w:pPr>
      <w:r w:rsidRPr="002C50F6">
        <w:rPr>
          <w:rFonts w:ascii="Palatino Linotype" w:hAnsi="Palatino Linotype" w:cs="Times New Roman"/>
          <w:b/>
          <w:u w:val="thick"/>
        </w:rPr>
        <w:t>Talep Konusu</w:t>
      </w:r>
      <w:r w:rsidR="00A03E39" w:rsidRPr="002C50F6">
        <w:rPr>
          <w:rFonts w:ascii="Palatino Linotype" w:hAnsi="Palatino Linotype" w:cs="Times New Roman"/>
          <w:b/>
          <w:u w:val="thick"/>
        </w:rPr>
        <w:t xml:space="preserve">                                      </w:t>
      </w:r>
      <w:r w:rsidR="00A03E39" w:rsidRPr="002C50F6">
        <w:rPr>
          <w:rFonts w:ascii="Palatino Linotype" w:hAnsi="Palatino Linotype" w:cs="Times New Roman"/>
          <w:b/>
          <w:u w:val="thick"/>
        </w:rPr>
        <w:tab/>
        <w:t xml:space="preserve"> :</w:t>
      </w:r>
      <w:r w:rsidR="00A03E39" w:rsidRPr="002C50F6">
        <w:rPr>
          <w:rFonts w:ascii="Palatino Linotype" w:hAnsi="Palatino Linotype" w:cs="Times New Roman"/>
          <w:b/>
        </w:rPr>
        <w:t xml:space="preserve"> </w:t>
      </w:r>
      <w:r w:rsidR="00B76022" w:rsidRPr="002C50F6">
        <w:rPr>
          <w:rFonts w:ascii="Palatino Linotype" w:hAnsi="Palatino Linotype" w:cs="Times New Roman"/>
          <w:b/>
        </w:rPr>
        <w:t xml:space="preserve"> </w:t>
      </w:r>
      <w:r w:rsidR="00A03E39" w:rsidRPr="002C50F6">
        <w:rPr>
          <w:rFonts w:ascii="Palatino Linotype" w:hAnsi="Palatino Linotype" w:cs="Times New Roman"/>
          <w:iCs/>
          <w:lang w:val="tr"/>
        </w:rPr>
        <w:t xml:space="preserve">AİHM’in Yalçınkaya/Türkiye davasındaki yeni olaylar ve gelişmeler nedeniyle, Mahkemenizin …………. tarih ve ………. E. ………..K.  sayılı </w:t>
      </w:r>
      <w:r w:rsidR="00A03E39" w:rsidRPr="008B6FFF">
        <w:rPr>
          <w:rFonts w:ascii="Palatino Linotype" w:hAnsi="Palatino Linotype" w:cs="Times New Roman"/>
          <w:iCs/>
          <w:highlight w:val="yellow"/>
          <w:lang w:val="tr"/>
        </w:rPr>
        <w:t>hakkı</w:t>
      </w:r>
      <w:r w:rsidR="009F0893" w:rsidRPr="008B6FFF">
        <w:rPr>
          <w:rFonts w:ascii="Palatino Linotype" w:hAnsi="Palatino Linotype" w:cs="Times New Roman"/>
          <w:iCs/>
          <w:highlight w:val="yellow"/>
          <w:lang w:val="tr"/>
        </w:rPr>
        <w:t>m</w:t>
      </w:r>
      <w:r w:rsidR="0070131E" w:rsidRPr="008B6FFF">
        <w:rPr>
          <w:rFonts w:ascii="Palatino Linotype" w:hAnsi="Palatino Linotype" w:cs="Times New Roman"/>
          <w:iCs/>
          <w:highlight w:val="yellow"/>
          <w:lang w:val="tr"/>
        </w:rPr>
        <w:t>da</w:t>
      </w:r>
      <w:r w:rsidR="009F0893" w:rsidRPr="008B6FFF">
        <w:rPr>
          <w:rFonts w:ascii="Palatino Linotype" w:hAnsi="Palatino Linotype" w:cs="Times New Roman"/>
          <w:iCs/>
          <w:highlight w:val="yellow"/>
          <w:lang w:val="tr"/>
        </w:rPr>
        <w:t>ki</w:t>
      </w:r>
      <w:r w:rsidR="008B6FFF" w:rsidRPr="008B6FFF">
        <w:rPr>
          <w:rFonts w:ascii="Palatino Linotype" w:hAnsi="Palatino Linotype" w:cs="Times New Roman"/>
          <w:iCs/>
          <w:highlight w:val="yellow"/>
          <w:lang w:val="tr"/>
        </w:rPr>
        <w:t>/eşim</w:t>
      </w:r>
      <w:r w:rsidR="008B6FFF">
        <w:rPr>
          <w:rFonts w:ascii="Palatino Linotype" w:hAnsi="Palatino Linotype" w:cs="Times New Roman"/>
          <w:iCs/>
          <w:highlight w:val="yellow"/>
          <w:lang w:val="tr"/>
        </w:rPr>
        <w:t xml:space="preserve"> olan</w:t>
      </w:r>
      <w:r w:rsidR="008B6FFF" w:rsidRPr="008B6FFF">
        <w:rPr>
          <w:rFonts w:ascii="Palatino Linotype" w:hAnsi="Palatino Linotype" w:cs="Times New Roman"/>
          <w:iCs/>
          <w:highlight w:val="yellow"/>
          <w:lang w:val="tr"/>
        </w:rPr>
        <w:t>-vasi olduğum</w:t>
      </w:r>
      <w:r w:rsidR="008B6FFF">
        <w:rPr>
          <w:rFonts w:ascii="Palatino Linotype" w:hAnsi="Palatino Linotype" w:cs="Times New Roman"/>
          <w:iCs/>
          <w:highlight w:val="yellow"/>
          <w:lang w:val="tr"/>
        </w:rPr>
        <w:t xml:space="preserve"> </w:t>
      </w:r>
      <w:r w:rsidR="008B6FFF" w:rsidRPr="008B6FFF">
        <w:rPr>
          <w:rFonts w:ascii="Palatino Linotype" w:hAnsi="Palatino Linotype" w:cs="Times New Roman"/>
          <w:iCs/>
          <w:highlight w:val="yellow"/>
          <w:lang w:val="tr"/>
        </w:rPr>
        <w:t>...’in</w:t>
      </w:r>
      <w:r w:rsidR="0070131E" w:rsidRPr="002C50F6">
        <w:rPr>
          <w:rFonts w:ascii="Palatino Linotype" w:hAnsi="Palatino Linotype" w:cs="Times New Roman"/>
          <w:iCs/>
          <w:lang w:val="tr"/>
        </w:rPr>
        <w:t xml:space="preserve"> </w:t>
      </w:r>
      <w:r w:rsidR="00A03E39" w:rsidRPr="002C50F6">
        <w:rPr>
          <w:rFonts w:ascii="Palatino Linotype" w:hAnsi="Palatino Linotype" w:cs="Times New Roman"/>
          <w:iCs/>
          <w:lang w:val="tr"/>
        </w:rPr>
        <w:t xml:space="preserve">kesinleşmiş kararın CMK’nın 311/1-e ve f maddesi uyarınca yeniden yargılamaya konu yapılması, suçun unsurları oluşmadığı AİHM kararı ile tespit edildiğinden derhal </w:t>
      </w:r>
      <w:r w:rsidR="00A03E39" w:rsidRPr="008B6FFF">
        <w:rPr>
          <w:rFonts w:ascii="Palatino Linotype" w:hAnsi="Palatino Linotype" w:cs="Times New Roman"/>
          <w:iCs/>
          <w:highlight w:val="yellow"/>
          <w:lang w:val="tr"/>
        </w:rPr>
        <w:t>beraat</w:t>
      </w:r>
      <w:r w:rsidR="008B6FFF" w:rsidRPr="008B6FFF">
        <w:rPr>
          <w:rFonts w:ascii="Palatino Linotype" w:hAnsi="Palatino Linotype" w:cs="Times New Roman"/>
          <w:iCs/>
          <w:highlight w:val="yellow"/>
          <w:lang w:val="tr"/>
        </w:rPr>
        <w:t>ı</w:t>
      </w:r>
      <w:r w:rsidR="009F0893" w:rsidRPr="008B6FFF">
        <w:rPr>
          <w:rFonts w:ascii="Palatino Linotype" w:hAnsi="Palatino Linotype" w:cs="Times New Roman"/>
          <w:iCs/>
          <w:highlight w:val="yellow"/>
          <w:lang w:val="tr"/>
        </w:rPr>
        <w:t>m</w:t>
      </w:r>
      <w:r w:rsidR="008B6FFF" w:rsidRPr="008B6FFF">
        <w:rPr>
          <w:rFonts w:ascii="Palatino Linotype" w:hAnsi="Palatino Linotype" w:cs="Times New Roman"/>
          <w:iCs/>
          <w:highlight w:val="yellow"/>
          <w:lang w:val="tr"/>
        </w:rPr>
        <w:t>a/eşimin/vasisi olduğum ....’in beraatına</w:t>
      </w:r>
      <w:r w:rsidR="00A03E39" w:rsidRPr="002C50F6">
        <w:rPr>
          <w:rFonts w:ascii="Palatino Linotype" w:hAnsi="Palatino Linotype" w:cs="Times New Roman"/>
          <w:iCs/>
          <w:lang w:val="tr"/>
        </w:rPr>
        <w:t xml:space="preserve"> karar verilmesi ve yargılama sonuna kadar </w:t>
      </w:r>
      <w:r w:rsidR="00A03E39" w:rsidRPr="008B6FFF">
        <w:rPr>
          <w:rFonts w:ascii="Palatino Linotype" w:hAnsi="Palatino Linotype" w:cs="Times New Roman"/>
          <w:iCs/>
          <w:highlight w:val="yellow"/>
          <w:lang w:val="tr"/>
        </w:rPr>
        <w:t>infazı</w:t>
      </w:r>
      <w:r w:rsidR="009F0893" w:rsidRPr="008B6FFF">
        <w:rPr>
          <w:rFonts w:ascii="Palatino Linotype" w:hAnsi="Palatino Linotype" w:cs="Times New Roman"/>
          <w:iCs/>
          <w:highlight w:val="yellow"/>
          <w:lang w:val="tr"/>
        </w:rPr>
        <w:t>m</w:t>
      </w:r>
      <w:r w:rsidR="0070131E" w:rsidRPr="008B6FFF">
        <w:rPr>
          <w:rFonts w:ascii="Palatino Linotype" w:hAnsi="Palatino Linotype" w:cs="Times New Roman"/>
          <w:iCs/>
          <w:highlight w:val="yellow"/>
          <w:lang w:val="tr"/>
        </w:rPr>
        <w:t>ın</w:t>
      </w:r>
      <w:r w:rsidR="008B6FFF" w:rsidRPr="008B6FFF">
        <w:rPr>
          <w:rFonts w:ascii="Palatino Linotype" w:hAnsi="Palatino Linotype" w:cs="Times New Roman"/>
          <w:iCs/>
          <w:highlight w:val="yellow"/>
          <w:lang w:val="tr"/>
        </w:rPr>
        <w:t>/infazını</w:t>
      </w:r>
      <w:r w:rsidR="00A03E39" w:rsidRPr="002C50F6">
        <w:rPr>
          <w:rFonts w:ascii="Palatino Linotype" w:hAnsi="Palatino Linotype" w:cs="Times New Roman"/>
          <w:iCs/>
          <w:lang w:val="tr"/>
        </w:rPr>
        <w:t xml:space="preserve"> tedbiren durdurulması istemine ilişkindir.</w:t>
      </w:r>
    </w:p>
    <w:p w14:paraId="30547AC5" w14:textId="35EA7D36" w:rsidR="00B76022" w:rsidRPr="002C50F6" w:rsidRDefault="00D97B5F" w:rsidP="003A6719">
      <w:pPr>
        <w:tabs>
          <w:tab w:val="left" w:pos="3870"/>
        </w:tabs>
        <w:spacing w:line="360" w:lineRule="auto"/>
        <w:ind w:left="3960" w:hanging="3960"/>
        <w:jc w:val="both"/>
        <w:rPr>
          <w:rFonts w:ascii="Palatino Linotype" w:hAnsi="Palatino Linotype" w:cs="Times New Roman"/>
          <w:b/>
          <w:u w:val="thick"/>
        </w:rPr>
      </w:pPr>
      <w:r w:rsidRPr="002C50F6">
        <w:rPr>
          <w:rFonts w:ascii="Palatino Linotype" w:hAnsi="Palatino Linotype" w:cs="Times New Roman"/>
          <w:b/>
          <w:u w:val="thick"/>
        </w:rPr>
        <w:t>Dayanılan Hukuki Kurallar               :</w:t>
      </w:r>
      <w:r w:rsidRPr="002C50F6">
        <w:rPr>
          <w:rFonts w:ascii="Palatino Linotype" w:hAnsi="Palatino Linotype" w:cs="Times New Roman"/>
          <w:bCs/>
        </w:rPr>
        <w:t xml:space="preserve"> </w:t>
      </w:r>
      <w:r w:rsidR="00055D06">
        <w:rPr>
          <w:rFonts w:ascii="Palatino Linotype" w:hAnsi="Palatino Linotype" w:cs="Times New Roman"/>
          <w:bCs/>
        </w:rPr>
        <w:t xml:space="preserve">   </w:t>
      </w:r>
      <w:r w:rsidR="00055D06">
        <w:rPr>
          <w:rFonts w:ascii="Palatino Linotype" w:hAnsi="Palatino Linotype" w:cs="Times New Roman"/>
          <w:bCs/>
          <w:highlight w:val="yellow"/>
        </w:rPr>
        <w:t>CMK’nın 262//1 (eş veya vasi başvuracaksa bu madde yazılmalı, şahsi başvuru yapılacaksa çıkarılmalı)</w:t>
      </w:r>
      <w:r w:rsidRPr="002C50F6">
        <w:rPr>
          <w:rFonts w:ascii="Palatino Linotype" w:hAnsi="Palatino Linotype" w:cs="Times New Roman"/>
          <w:bCs/>
        </w:rPr>
        <w:t xml:space="preserve"> 311/1-e ve f maddesi; </w:t>
      </w:r>
      <w:proofErr w:type="spellStart"/>
      <w:r w:rsidRPr="002C50F6">
        <w:rPr>
          <w:rFonts w:ascii="Palatino Linotype" w:hAnsi="Palatino Linotype" w:cs="Times New Roman"/>
          <w:bCs/>
        </w:rPr>
        <w:t>AY’nın</w:t>
      </w:r>
      <w:proofErr w:type="spellEnd"/>
      <w:r w:rsidRPr="002C50F6">
        <w:rPr>
          <w:rFonts w:ascii="Palatino Linotype" w:hAnsi="Palatino Linotype" w:cs="Times New Roman"/>
          <w:bCs/>
        </w:rPr>
        <w:t xml:space="preserve"> 90. maddesi; AİHS’nin 6, 7, </w:t>
      </w:r>
      <w:r w:rsidR="003A6719" w:rsidRPr="002C50F6">
        <w:rPr>
          <w:rFonts w:ascii="Palatino Linotype" w:hAnsi="Palatino Linotype" w:cs="Times New Roman"/>
          <w:bCs/>
        </w:rPr>
        <w:t xml:space="preserve">11, </w:t>
      </w:r>
      <w:r w:rsidRPr="002C50F6">
        <w:rPr>
          <w:rFonts w:ascii="Palatino Linotype" w:hAnsi="Palatino Linotype" w:cs="Times New Roman"/>
          <w:bCs/>
        </w:rPr>
        <w:t>46</w:t>
      </w:r>
      <w:r w:rsidR="003A6719" w:rsidRPr="002C50F6">
        <w:rPr>
          <w:rFonts w:ascii="Palatino Linotype" w:hAnsi="Palatino Linotype" w:cs="Times New Roman"/>
          <w:bCs/>
        </w:rPr>
        <w:t>. maddeleri; 6216 sayılı Kanunun 50. maddesi</w:t>
      </w:r>
      <w:r w:rsidRPr="002C50F6">
        <w:rPr>
          <w:rFonts w:ascii="Palatino Linotype" w:hAnsi="Palatino Linotype" w:cs="Times New Roman"/>
          <w:bCs/>
        </w:rPr>
        <w:t xml:space="preserve">  </w:t>
      </w:r>
      <w:r w:rsidRPr="002C50F6">
        <w:rPr>
          <w:rFonts w:ascii="Palatino Linotype" w:hAnsi="Palatino Linotype" w:cs="Times New Roman"/>
          <w:b/>
          <w:u w:val="thick"/>
        </w:rPr>
        <w:t xml:space="preserve">       </w:t>
      </w:r>
      <w:r w:rsidR="00B76022" w:rsidRPr="002C50F6">
        <w:rPr>
          <w:rFonts w:ascii="Palatino Linotype" w:hAnsi="Palatino Linotype" w:cs="Times New Roman"/>
          <w:b/>
          <w:u w:val="thick"/>
        </w:rPr>
        <w:t xml:space="preserve">                   </w:t>
      </w:r>
      <w:r w:rsidR="00BA5188" w:rsidRPr="002C50F6">
        <w:rPr>
          <w:rFonts w:ascii="Palatino Linotype" w:hAnsi="Palatino Linotype" w:cs="Times New Roman"/>
          <w:b/>
          <w:u w:val="thick"/>
        </w:rPr>
        <w:t xml:space="preserve">            </w:t>
      </w:r>
      <w:r w:rsidR="007018E6" w:rsidRPr="002C50F6">
        <w:rPr>
          <w:rFonts w:ascii="Palatino Linotype" w:hAnsi="Palatino Linotype" w:cs="Times New Roman"/>
          <w:b/>
          <w:u w:val="thick"/>
        </w:rPr>
        <w:t xml:space="preserve">             </w:t>
      </w:r>
      <w:r w:rsidR="00BA5188" w:rsidRPr="002C50F6">
        <w:rPr>
          <w:rFonts w:ascii="Palatino Linotype" w:hAnsi="Palatino Linotype" w:cs="Times New Roman"/>
          <w:b/>
          <w:u w:val="thick"/>
        </w:rPr>
        <w:t xml:space="preserve"> </w:t>
      </w:r>
      <w:r w:rsidR="00B76022" w:rsidRPr="002C50F6">
        <w:rPr>
          <w:rFonts w:ascii="Palatino Linotype" w:hAnsi="Palatino Linotype" w:cs="Times New Roman"/>
          <w:b/>
          <w:u w:val="thick"/>
        </w:rPr>
        <w:t xml:space="preserve">     </w:t>
      </w:r>
    </w:p>
    <w:p w14:paraId="368261F7" w14:textId="77777777" w:rsidR="003A6719" w:rsidRPr="002C50F6" w:rsidRDefault="003A6719" w:rsidP="003A6719">
      <w:pPr>
        <w:tabs>
          <w:tab w:val="left" w:pos="3870"/>
        </w:tabs>
        <w:spacing w:line="360" w:lineRule="auto"/>
        <w:jc w:val="center"/>
        <w:rPr>
          <w:rFonts w:ascii="Palatino Linotype" w:hAnsi="Palatino Linotype" w:cs="Times New Roman"/>
          <w:b/>
        </w:rPr>
      </w:pPr>
    </w:p>
    <w:p w14:paraId="65BBC1ED" w14:textId="5F96C7F8" w:rsidR="00261695" w:rsidRPr="002C50F6" w:rsidRDefault="00261695" w:rsidP="003A6719">
      <w:pPr>
        <w:tabs>
          <w:tab w:val="left" w:pos="3870"/>
        </w:tabs>
        <w:spacing w:line="360" w:lineRule="auto"/>
        <w:jc w:val="center"/>
        <w:rPr>
          <w:rFonts w:ascii="Palatino Linotype" w:hAnsi="Palatino Linotype" w:cs="Times New Roman"/>
          <w:b/>
        </w:rPr>
      </w:pPr>
      <w:r w:rsidRPr="002C50F6">
        <w:rPr>
          <w:rFonts w:ascii="Palatino Linotype" w:hAnsi="Palatino Linotype" w:cs="Times New Roman"/>
          <w:b/>
        </w:rPr>
        <w:t>AÇIKLAMALAR</w:t>
      </w:r>
    </w:p>
    <w:p w14:paraId="2A9EB87F" w14:textId="36DD36CE" w:rsidR="00261695" w:rsidRPr="002C50F6" w:rsidRDefault="00261695" w:rsidP="00261695">
      <w:pPr>
        <w:tabs>
          <w:tab w:val="left" w:pos="3870"/>
        </w:tabs>
        <w:spacing w:line="360" w:lineRule="auto"/>
        <w:jc w:val="both"/>
        <w:rPr>
          <w:rFonts w:ascii="Palatino Linotype" w:hAnsi="Palatino Linotype" w:cs="Times New Roman"/>
          <w:b/>
        </w:rPr>
      </w:pPr>
      <w:r w:rsidRPr="002C50F6">
        <w:rPr>
          <w:rFonts w:ascii="Palatino Linotype" w:hAnsi="Palatino Linotype" w:cs="Times New Roman"/>
          <w:b/>
        </w:rPr>
        <w:lastRenderedPageBreak/>
        <w:t xml:space="preserve">I. </w:t>
      </w:r>
      <w:r w:rsidR="00865AE8" w:rsidRPr="002C50F6">
        <w:rPr>
          <w:rFonts w:ascii="Palatino Linotype" w:hAnsi="Palatino Linotype" w:cs="Times New Roman"/>
          <w:b/>
        </w:rPr>
        <w:t xml:space="preserve">Müvekkilin </w:t>
      </w:r>
      <w:r w:rsidRPr="002C50F6">
        <w:rPr>
          <w:rFonts w:ascii="Palatino Linotype" w:hAnsi="Palatino Linotype" w:cs="Times New Roman"/>
          <w:b/>
        </w:rPr>
        <w:t>Mahkumiyet Gerekçe</w:t>
      </w:r>
      <w:r w:rsidR="0070131E" w:rsidRPr="002C50F6">
        <w:rPr>
          <w:rFonts w:ascii="Palatino Linotype" w:hAnsi="Palatino Linotype" w:cs="Times New Roman"/>
          <w:b/>
        </w:rPr>
        <w:t>si</w:t>
      </w:r>
    </w:p>
    <w:p w14:paraId="1AAFF770" w14:textId="5424E3EC" w:rsidR="00261695" w:rsidRPr="002C50F6" w:rsidRDefault="00261695"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Mahkemenizin ….E.,</w:t>
      </w:r>
      <w:r w:rsidR="009F0893">
        <w:rPr>
          <w:rFonts w:ascii="Palatino Linotype" w:hAnsi="Palatino Linotype" w:cs="Times New Roman"/>
          <w:bCs/>
        </w:rPr>
        <w:t xml:space="preserve"> ve</w:t>
      </w:r>
      <w:r w:rsidRPr="002C50F6">
        <w:rPr>
          <w:rFonts w:ascii="Palatino Linotype" w:hAnsi="Palatino Linotype" w:cs="Times New Roman"/>
          <w:bCs/>
        </w:rPr>
        <w:t xml:space="preserve"> </w:t>
      </w:r>
      <w:r w:rsidR="009F0893">
        <w:rPr>
          <w:rFonts w:ascii="Palatino Linotype" w:hAnsi="Palatino Linotype" w:cs="Times New Roman"/>
          <w:bCs/>
        </w:rPr>
        <w:t>….K</w:t>
      </w:r>
      <w:r w:rsidRPr="002C50F6">
        <w:rPr>
          <w:rFonts w:ascii="Palatino Linotype" w:hAnsi="Palatino Linotype" w:cs="Times New Roman"/>
          <w:bCs/>
        </w:rPr>
        <w:t xml:space="preserve">…. sayılı </w:t>
      </w:r>
      <w:r w:rsidR="009F0893">
        <w:rPr>
          <w:rFonts w:ascii="Palatino Linotype" w:hAnsi="Palatino Linotype" w:cs="Times New Roman"/>
          <w:bCs/>
        </w:rPr>
        <w:t>k</w:t>
      </w:r>
      <w:r w:rsidRPr="002C50F6">
        <w:rPr>
          <w:rFonts w:ascii="Palatino Linotype" w:hAnsi="Palatino Linotype" w:cs="Times New Roman"/>
          <w:bCs/>
        </w:rPr>
        <w:t>ararı ile …</w:t>
      </w:r>
      <w:r w:rsidR="00E40DC4" w:rsidRPr="002C50F6">
        <w:rPr>
          <w:rFonts w:ascii="Palatino Linotype" w:hAnsi="Palatino Linotype" w:cs="Times New Roman"/>
          <w:bCs/>
        </w:rPr>
        <w:t>….</w:t>
      </w:r>
      <w:r w:rsidRPr="002C50F6">
        <w:rPr>
          <w:rFonts w:ascii="Palatino Linotype" w:hAnsi="Palatino Linotype" w:cs="Times New Roman"/>
          <w:bCs/>
        </w:rPr>
        <w:t xml:space="preserve">tarihinde </w:t>
      </w:r>
      <w:r w:rsidR="009F0893">
        <w:rPr>
          <w:rFonts w:ascii="Palatino Linotype" w:hAnsi="Palatino Linotype" w:cs="Times New Roman"/>
          <w:bCs/>
        </w:rPr>
        <w:t>si</w:t>
      </w:r>
      <w:r w:rsidR="0070131E" w:rsidRPr="002C50F6">
        <w:rPr>
          <w:rFonts w:ascii="Palatino Linotype" w:hAnsi="Palatino Linotype" w:cs="Times New Roman"/>
          <w:bCs/>
        </w:rPr>
        <w:t xml:space="preserve">lahlı terör örgütüne üyelik suçlaması ile …. hapis cezasına </w:t>
      </w:r>
      <w:r w:rsidRPr="008B6FFF">
        <w:rPr>
          <w:rFonts w:ascii="Palatino Linotype" w:hAnsi="Palatino Linotype" w:cs="Times New Roman"/>
          <w:bCs/>
          <w:highlight w:val="yellow"/>
        </w:rPr>
        <w:t>mahkum edil</w:t>
      </w:r>
      <w:r w:rsidR="009F0893" w:rsidRPr="008B6FFF">
        <w:rPr>
          <w:rFonts w:ascii="Palatino Linotype" w:hAnsi="Palatino Linotype" w:cs="Times New Roman"/>
          <w:bCs/>
          <w:highlight w:val="yellow"/>
        </w:rPr>
        <w:t>dim</w:t>
      </w:r>
      <w:r w:rsidR="0037126F" w:rsidRPr="008B6FFF">
        <w:rPr>
          <w:rFonts w:ascii="Palatino Linotype" w:hAnsi="Palatino Linotype" w:cs="Times New Roman"/>
          <w:bCs/>
          <w:highlight w:val="yellow"/>
        </w:rPr>
        <w:t>/eşi</w:t>
      </w:r>
      <w:r w:rsidR="008B6FFF" w:rsidRPr="008B6FFF">
        <w:rPr>
          <w:rFonts w:ascii="Palatino Linotype" w:hAnsi="Palatino Linotype" w:cs="Times New Roman"/>
          <w:bCs/>
          <w:highlight w:val="yellow"/>
        </w:rPr>
        <w:t>m-vasisi olduğum(kişi ismi yazılacak)</w:t>
      </w:r>
      <w:r w:rsidR="0070131E" w:rsidRPr="008B6FFF">
        <w:rPr>
          <w:rFonts w:ascii="Palatino Linotype" w:hAnsi="Palatino Linotype" w:cs="Times New Roman"/>
          <w:bCs/>
          <w:highlight w:val="yellow"/>
        </w:rPr>
        <w:t xml:space="preserve"> </w:t>
      </w:r>
      <w:r w:rsidR="008B6FFF" w:rsidRPr="008B6FFF">
        <w:rPr>
          <w:rFonts w:ascii="Palatino Linotype" w:hAnsi="Palatino Linotype" w:cs="Times New Roman"/>
          <w:bCs/>
          <w:highlight w:val="yellow"/>
        </w:rPr>
        <w:t>mahkum edildi</w:t>
      </w:r>
      <w:r w:rsidR="008B6FFF">
        <w:rPr>
          <w:rFonts w:ascii="Palatino Linotype" w:hAnsi="Palatino Linotype" w:cs="Times New Roman"/>
          <w:bCs/>
        </w:rPr>
        <w:t xml:space="preserve"> </w:t>
      </w:r>
      <w:r w:rsidR="0070131E" w:rsidRPr="002C50F6">
        <w:rPr>
          <w:rFonts w:ascii="Palatino Linotype" w:hAnsi="Palatino Linotype" w:cs="Times New Roman"/>
          <w:bCs/>
        </w:rPr>
        <w:t xml:space="preserve">ve </w:t>
      </w:r>
      <w:r w:rsidR="0070131E" w:rsidRPr="008B6FFF">
        <w:rPr>
          <w:rFonts w:ascii="Palatino Linotype" w:hAnsi="Palatino Linotype" w:cs="Times New Roman"/>
          <w:bCs/>
          <w:highlight w:val="yellow"/>
        </w:rPr>
        <w:t>hakkı</w:t>
      </w:r>
      <w:r w:rsidR="009F0893" w:rsidRPr="008B6FFF">
        <w:rPr>
          <w:rFonts w:ascii="Palatino Linotype" w:hAnsi="Palatino Linotype" w:cs="Times New Roman"/>
          <w:bCs/>
          <w:highlight w:val="yellow"/>
        </w:rPr>
        <w:t>m</w:t>
      </w:r>
      <w:r w:rsidR="0070131E" w:rsidRPr="008B6FFF">
        <w:rPr>
          <w:rFonts w:ascii="Palatino Linotype" w:hAnsi="Palatino Linotype" w:cs="Times New Roman"/>
          <w:bCs/>
          <w:highlight w:val="yellow"/>
        </w:rPr>
        <w:t>daki</w:t>
      </w:r>
      <w:r w:rsidR="008B6FFF" w:rsidRPr="008B6FFF">
        <w:rPr>
          <w:rFonts w:ascii="Palatino Linotype" w:hAnsi="Palatino Linotype" w:cs="Times New Roman"/>
          <w:bCs/>
          <w:highlight w:val="yellow"/>
        </w:rPr>
        <w:t>/hakkındaki</w:t>
      </w:r>
      <w:r w:rsidR="0070131E" w:rsidRPr="002C50F6">
        <w:rPr>
          <w:rFonts w:ascii="Palatino Linotype" w:hAnsi="Palatino Linotype" w:cs="Times New Roman"/>
          <w:bCs/>
        </w:rPr>
        <w:t xml:space="preserve"> karar …tarihinde kesinleşmiştir.</w:t>
      </w:r>
    </w:p>
    <w:p w14:paraId="1FF2C0C7" w14:textId="326EDFE4" w:rsidR="007A42D5" w:rsidRPr="002C50F6" w:rsidRDefault="009F0893" w:rsidP="002C50F6">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8B6FFF">
        <w:rPr>
          <w:rFonts w:ascii="Palatino Linotype" w:hAnsi="Palatino Linotype" w:cs="Times New Roman"/>
          <w:bCs/>
          <w:highlight w:val="yellow"/>
        </w:rPr>
        <w:t>Hakkımdaki</w:t>
      </w:r>
      <w:r w:rsidR="008B6FFF" w:rsidRPr="008B6FFF">
        <w:rPr>
          <w:rFonts w:ascii="Palatino Linotype" w:hAnsi="Palatino Linotype" w:cs="Times New Roman"/>
          <w:bCs/>
          <w:highlight w:val="yellow"/>
        </w:rPr>
        <w:t>/hakkındaki</w:t>
      </w:r>
      <w:r w:rsidR="0070131E" w:rsidRPr="002C50F6">
        <w:rPr>
          <w:rFonts w:ascii="Palatino Linotype" w:hAnsi="Palatino Linotype" w:cs="Times New Roman"/>
          <w:bCs/>
        </w:rPr>
        <w:t xml:space="preserve"> mahkumiyet gerekçesi; sırasıyla </w:t>
      </w:r>
      <w:r w:rsidR="0070131E" w:rsidRPr="002C50F6">
        <w:rPr>
          <w:rFonts w:ascii="Palatino Linotype" w:hAnsi="Palatino Linotype" w:cs="Times New Roman"/>
          <w:bCs/>
          <w:highlight w:val="yellow"/>
        </w:rPr>
        <w:t>(herkes kendi mahkumiyet gerekçesini yazacak)</w:t>
      </w:r>
      <w:r w:rsidR="0070131E" w:rsidRPr="002C50F6">
        <w:rPr>
          <w:rFonts w:ascii="Palatino Linotype" w:hAnsi="Palatino Linotype" w:cs="Times New Roman"/>
          <w:bCs/>
        </w:rPr>
        <w:t xml:space="preserve"> </w:t>
      </w:r>
      <w:r w:rsidR="0070131E" w:rsidRPr="002C50F6">
        <w:rPr>
          <w:rFonts w:ascii="Palatino Linotype" w:hAnsi="Palatino Linotype" w:cs="Times New Roman"/>
          <w:bCs/>
          <w:highlight w:val="yellow"/>
        </w:rPr>
        <w:t xml:space="preserve">ByLock uygulamasını indirmek, </w:t>
      </w:r>
      <w:r w:rsidR="00C7633D" w:rsidRPr="002C50F6">
        <w:rPr>
          <w:rFonts w:ascii="Palatino Linotype" w:hAnsi="Palatino Linotype" w:cs="Times New Roman"/>
          <w:bCs/>
          <w:highlight w:val="yellow"/>
        </w:rPr>
        <w:t xml:space="preserve">Bank Asya’da hesap açmak, …derneğine ve …sendikasına üye olmak, …x okulunda okumak, …x gazetesi ve dergisine abone olmak, …x aboneliğini sonlandırmak, … 1dolar bulundurmak, …x derneğine yardım etmek, …x tanığın beyanı ile cemaat sohbetlerine katılmak, çocuğunu …x okulunda okutturmak, örgüte üyelikten hakkında soruşturma açılmış olan </w:t>
      </w:r>
      <w:proofErr w:type="spellStart"/>
      <w:r w:rsidR="00C7633D" w:rsidRPr="002C50F6">
        <w:rPr>
          <w:rFonts w:ascii="Palatino Linotype" w:hAnsi="Palatino Linotype" w:cs="Times New Roman"/>
          <w:bCs/>
          <w:highlight w:val="yellow"/>
        </w:rPr>
        <w:t>xyz</w:t>
      </w:r>
      <w:proofErr w:type="spellEnd"/>
      <w:r w:rsidR="00C7633D" w:rsidRPr="002C50F6">
        <w:rPr>
          <w:rFonts w:ascii="Palatino Linotype" w:hAnsi="Palatino Linotype" w:cs="Times New Roman"/>
          <w:bCs/>
          <w:highlight w:val="yellow"/>
        </w:rPr>
        <w:t xml:space="preserve"> kişiler ile görüşmek</w:t>
      </w:r>
      <w:r w:rsidR="00454D63" w:rsidRPr="002C50F6">
        <w:rPr>
          <w:rFonts w:ascii="Palatino Linotype" w:hAnsi="Palatino Linotype" w:cs="Times New Roman"/>
          <w:bCs/>
          <w:highlight w:val="yellow"/>
        </w:rPr>
        <w:t>, seçimlerde …x partisine veya (HSK ve vb kurum seçimlerinde) x grubuna destek vermek (vb)</w:t>
      </w:r>
      <w:r w:rsidR="00454D63" w:rsidRPr="002C50F6">
        <w:rPr>
          <w:rFonts w:ascii="Palatino Linotype" w:hAnsi="Palatino Linotype" w:cs="Times New Roman"/>
          <w:bCs/>
        </w:rPr>
        <w:t xml:space="preserve"> hususlarına dayan</w:t>
      </w:r>
      <w:r>
        <w:rPr>
          <w:rFonts w:ascii="Palatino Linotype" w:hAnsi="Palatino Linotype" w:cs="Times New Roman"/>
          <w:bCs/>
        </w:rPr>
        <w:t>dırılmıştır</w:t>
      </w:r>
      <w:r w:rsidR="00454D63" w:rsidRPr="002C50F6">
        <w:rPr>
          <w:rFonts w:ascii="Palatino Linotype" w:hAnsi="Palatino Linotype" w:cs="Times New Roman"/>
          <w:bCs/>
        </w:rPr>
        <w:t xml:space="preserve">. </w:t>
      </w:r>
    </w:p>
    <w:p w14:paraId="2EBBFE0E" w14:textId="68081404" w:rsidR="007A42D5" w:rsidRPr="002C50F6" w:rsidRDefault="007A42D5" w:rsidP="00C61BA4">
      <w:pPr>
        <w:tabs>
          <w:tab w:val="left" w:pos="3870"/>
        </w:tabs>
        <w:spacing w:line="360" w:lineRule="auto"/>
        <w:ind w:right="-378"/>
        <w:jc w:val="both"/>
        <w:rPr>
          <w:rFonts w:ascii="Palatino Linotype" w:hAnsi="Palatino Linotype" w:cs="Times New Roman"/>
          <w:b/>
        </w:rPr>
      </w:pPr>
      <w:r w:rsidRPr="002C50F6">
        <w:rPr>
          <w:rFonts w:ascii="Palatino Linotype" w:hAnsi="Palatino Linotype" w:cs="Times New Roman"/>
          <w:b/>
        </w:rPr>
        <w:t>II. Yargılamanın Yenilenmesi Talebin</w:t>
      </w:r>
      <w:r w:rsidR="00762D0A" w:rsidRPr="002C50F6">
        <w:rPr>
          <w:rFonts w:ascii="Palatino Linotype" w:hAnsi="Palatino Linotype" w:cs="Times New Roman"/>
          <w:b/>
        </w:rPr>
        <w:t>in Dayandığı Hukuki Kurallar</w:t>
      </w:r>
    </w:p>
    <w:p w14:paraId="467DB0EE" w14:textId="77777777" w:rsidR="00762D0A" w:rsidRPr="002C50F6" w:rsidRDefault="00762D0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 xml:space="preserve">Hükümlü lehine yargılamanın yenilenmesi nedenleri CMK’nın 311. Maddesinde düzenlenmiştir. Müvekkil açısından yargılamanın yenilenmesi dayanağını oluşturacak düzenleme aşağıdaki gibidir: </w:t>
      </w:r>
    </w:p>
    <w:p w14:paraId="2662C5D8" w14:textId="77777777" w:rsidR="00875E34" w:rsidRPr="002C50F6" w:rsidRDefault="00762D0A" w:rsidP="008A5BF2">
      <w:pPr>
        <w:pStyle w:val="ListeParagraf"/>
        <w:tabs>
          <w:tab w:val="left" w:pos="3870"/>
        </w:tabs>
        <w:spacing w:line="360" w:lineRule="auto"/>
        <w:ind w:left="630" w:right="-378"/>
        <w:jc w:val="both"/>
        <w:rPr>
          <w:rFonts w:ascii="Palatino Linotype" w:hAnsi="Palatino Linotype" w:cs="Times New Roman"/>
          <w:i/>
          <w:iCs/>
        </w:rPr>
      </w:pPr>
      <w:r w:rsidRPr="002C50F6">
        <w:rPr>
          <w:rFonts w:ascii="Palatino Linotype" w:hAnsi="Palatino Linotype" w:cs="Times New Roman"/>
          <w:bCs/>
          <w:i/>
          <w:iCs/>
        </w:rPr>
        <w:t>“Madde 311 – (1) Kesinleşen bir hükümle sonuçlanmış bir dava, aşağıda yazılı hâllerde hükümlü lehine olarak yargılamanın yenilenmesi yoluyla tekrar görülür:</w:t>
      </w:r>
      <w:r w:rsidRPr="002C50F6">
        <w:rPr>
          <w:rFonts w:ascii="Palatino Linotype" w:hAnsi="Palatino Linotype" w:cs="Times New Roman"/>
          <w:i/>
          <w:iCs/>
        </w:rPr>
        <w:t xml:space="preserve"> </w:t>
      </w:r>
    </w:p>
    <w:p w14:paraId="376414F2" w14:textId="77777777" w:rsidR="00875E34" w:rsidRPr="002C50F6" w:rsidRDefault="00762D0A"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 xml:space="preserve">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 </w:t>
      </w:r>
    </w:p>
    <w:p w14:paraId="6C865AAD" w14:textId="364CB261" w:rsidR="007A42D5" w:rsidRPr="002C50F6" w:rsidRDefault="00762D0A"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f) Ceza hükmünün, İnsan Haklarını ve Ana Hürriyetleri Korumaya Dair Sözleşmenin veya eki protokollerin ihlâli suretiyle verildiğinin ve hükmün bu aykırılığa dayandığının, Avrupa İnsan Hakları Mahkemesinin kesinleşmiş kararıyla tespit edilmiş olması veya ceza hükmü aleyhine Avrupa İnsan Hakları Mahkemesine yapılan başvuru hakkında dostane çözüm ya da tek taraflı deklarasyon sonucunda düşme kararı verilmesi. Bu hâlde yargılamanın yenilenmesi, Avrupa İnsan Hakları Mahkemesi kararının kesinleştiği tarihten itibaren bir yıl içinde istenebilir.”</w:t>
      </w:r>
    </w:p>
    <w:p w14:paraId="04976590" w14:textId="77777777" w:rsidR="00F83122" w:rsidRPr="002C50F6" w:rsidRDefault="00F8312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Avrupa İnsan Hakları Sözleşmesi dahil Milletlerarası Anlaşmalar ile ilgili Anayasa’nın 90. Maddesinin ilgili fıkrası şöyledir:</w:t>
      </w:r>
    </w:p>
    <w:p w14:paraId="3EBC25B5" w14:textId="7CECB657" w:rsidR="00F83122" w:rsidRPr="002C50F6" w:rsidRDefault="00D97B5F"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lastRenderedPageBreak/>
        <w:t>“</w:t>
      </w:r>
      <w:r w:rsidR="00F83122" w:rsidRPr="002C50F6">
        <w:rPr>
          <w:rFonts w:ascii="Palatino Linotype" w:hAnsi="Palatino Linotype" w:cs="Times New Roman"/>
          <w:bCs/>
          <w:i/>
          <w:iCs/>
        </w:rPr>
        <w:t xml:space="preserve">Usulüne göre yürürlüğe konulmuş Milletlerarası </w:t>
      </w:r>
      <w:proofErr w:type="spellStart"/>
      <w:r w:rsidR="00F83122" w:rsidRPr="002C50F6">
        <w:rPr>
          <w:rFonts w:ascii="Palatino Linotype" w:hAnsi="Palatino Linotype" w:cs="Times New Roman"/>
          <w:bCs/>
          <w:i/>
          <w:iCs/>
        </w:rPr>
        <w:t>andlaşmalar</w:t>
      </w:r>
      <w:proofErr w:type="spellEnd"/>
      <w:r w:rsidR="00F83122" w:rsidRPr="002C50F6">
        <w:rPr>
          <w:rFonts w:ascii="Palatino Linotype" w:hAnsi="Palatino Linotype" w:cs="Times New Roman"/>
          <w:bCs/>
          <w:i/>
          <w:iCs/>
        </w:rPr>
        <w:t xml:space="preserve"> kanun hükmündedir. Bunlar hakkında Anayasaya aykırılık iddiası ile Anayasa Mahkemesine başvurulamaz. (Ek cümle: 7/5/2004- 5170/7 md.) Usulüne göre yürürlüğe konulmuş temel hak ve özgürlüklere ilişkin milletlerarası </w:t>
      </w:r>
      <w:proofErr w:type="spellStart"/>
      <w:r w:rsidR="00F83122" w:rsidRPr="002C50F6">
        <w:rPr>
          <w:rFonts w:ascii="Palatino Linotype" w:hAnsi="Palatino Linotype" w:cs="Times New Roman"/>
          <w:bCs/>
          <w:i/>
          <w:iCs/>
        </w:rPr>
        <w:t>andlaşmalarla</w:t>
      </w:r>
      <w:proofErr w:type="spellEnd"/>
      <w:r w:rsidR="00F83122" w:rsidRPr="002C50F6">
        <w:rPr>
          <w:rFonts w:ascii="Palatino Linotype" w:hAnsi="Palatino Linotype" w:cs="Times New Roman"/>
          <w:bCs/>
          <w:i/>
          <w:iCs/>
        </w:rPr>
        <w:t xml:space="preserve"> kanunların aynı konuda farklı hükümler içermesi nedeniyle çıkabilecek uyuşmazlıklarda milletlerarası </w:t>
      </w:r>
      <w:proofErr w:type="spellStart"/>
      <w:r w:rsidR="00F83122" w:rsidRPr="002C50F6">
        <w:rPr>
          <w:rFonts w:ascii="Palatino Linotype" w:hAnsi="Palatino Linotype" w:cs="Times New Roman"/>
          <w:bCs/>
          <w:i/>
          <w:iCs/>
        </w:rPr>
        <w:t>andlaşma</w:t>
      </w:r>
      <w:proofErr w:type="spellEnd"/>
      <w:r w:rsidR="00F83122" w:rsidRPr="002C50F6">
        <w:rPr>
          <w:rFonts w:ascii="Palatino Linotype" w:hAnsi="Palatino Linotype" w:cs="Times New Roman"/>
          <w:bCs/>
          <w:i/>
          <w:iCs/>
        </w:rPr>
        <w:t xml:space="preserve"> hükümleri esas alınır.</w:t>
      </w:r>
      <w:r w:rsidRPr="002C50F6">
        <w:rPr>
          <w:rFonts w:ascii="Palatino Linotype" w:hAnsi="Palatino Linotype" w:cs="Times New Roman"/>
          <w:bCs/>
          <w:i/>
          <w:iCs/>
        </w:rPr>
        <w:t>”</w:t>
      </w:r>
    </w:p>
    <w:p w14:paraId="05440508" w14:textId="04760576" w:rsidR="00875E34" w:rsidRPr="002C50F6" w:rsidRDefault="00875E34"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 xml:space="preserve">Avrupa İnsan Hakları Sözleşmesi’nin Türkiye açısından AİHM kararlarının bağlayıcılığını düzenleyen ilgili maddesi şöyledir: </w:t>
      </w:r>
    </w:p>
    <w:p w14:paraId="4FE1BDD4" w14:textId="77777777" w:rsidR="00875E34" w:rsidRPr="002C50F6" w:rsidRDefault="00875E34"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 xml:space="preserve">“MADDE 46 Kararların bağlayıcılığı ve infazı </w:t>
      </w:r>
    </w:p>
    <w:p w14:paraId="7CE57681" w14:textId="77777777" w:rsidR="00875E34" w:rsidRPr="002C50F6" w:rsidRDefault="00875E34"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 xml:space="preserve">1. Yüksek Sözleşmeci Taraflar, taraf oldukları davalarda Mahkeme’nin verdiği kesinleşmiş kararlara uymayı taahhüt ederler. </w:t>
      </w:r>
    </w:p>
    <w:p w14:paraId="43EAADFA" w14:textId="77777777" w:rsidR="00875E34" w:rsidRPr="002C50F6" w:rsidRDefault="00875E34"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 xml:space="preserve">2. Mahkeme’nin kesinleşen kararı, infazını denetleyecek olan Bakanlar Komitesi’ne gönderilir. </w:t>
      </w:r>
    </w:p>
    <w:p w14:paraId="1A7EFEA2" w14:textId="77777777" w:rsidR="00875E34" w:rsidRPr="002C50F6" w:rsidRDefault="00875E34"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 xml:space="preserve">3. Bakanlar Komitesi, kesinleşen bir kararın infazının denetlenmesinin, söz konusu kararın yorumundan kaynaklanan bir zorluk nedeniyle engellendiği kanaatinde ise, bu yorum konusunda karar vermesi için Mahkeme’ye başvurabilir. Mahkeme’ye başvurma kararı, Komite toplantılarına katılma hakkına sahip temsilcilerin üçte iki oy çokluğu ile alınır. </w:t>
      </w:r>
    </w:p>
    <w:p w14:paraId="064443AA" w14:textId="77777777" w:rsidR="00875E34" w:rsidRPr="002C50F6" w:rsidRDefault="00875E34"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 xml:space="preserve">4. Bakanlar Komitesi, bir Yüksek Sözleşmeci Taraf’ın, taraf olduğu bir davada verilen kesin karara uygun davranmayı reddettiği görüşünde ise, ilgili Taraf’a ihtarda bulunduktan sonra, Komite toplantılarına katılmaya yetkili temsilcilerin üçte iki oy çokluğu ile alınacak bir kararla, ilgili Taraf’ın 1. </w:t>
      </w:r>
      <w:proofErr w:type="spellStart"/>
      <w:r w:rsidRPr="002C50F6">
        <w:rPr>
          <w:rFonts w:ascii="Palatino Linotype" w:hAnsi="Palatino Linotype" w:cs="Times New Roman"/>
          <w:bCs/>
          <w:i/>
          <w:iCs/>
        </w:rPr>
        <w:t>fikrada</w:t>
      </w:r>
      <w:proofErr w:type="spellEnd"/>
      <w:r w:rsidRPr="002C50F6">
        <w:rPr>
          <w:rFonts w:ascii="Palatino Linotype" w:hAnsi="Palatino Linotype" w:cs="Times New Roman"/>
          <w:bCs/>
          <w:i/>
          <w:iCs/>
        </w:rPr>
        <w:t xml:space="preserve"> öngörülen yükümlülüğünü yerine getirmediği meselesini Mahkeme’ye intikal ettirebilir. </w:t>
      </w:r>
    </w:p>
    <w:p w14:paraId="3E0CDF45" w14:textId="14FB42F4" w:rsidR="00875E34" w:rsidRPr="002C50F6" w:rsidRDefault="00875E34"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5. Mahkeme 1. fıkranın ihlal edildiğini tespit ederse, alınacak önlemleri değerlendirmesi için davayı Bakanlar Komitesi’ne gönderir. Mahkeme, eğer 1. fıkranın ihlal edilmediğini saptarsa, davayı, incelemesine son verecek kararı alması için Bakanlar Komitesi’ne iletir.”</w:t>
      </w:r>
    </w:p>
    <w:p w14:paraId="272B0A37" w14:textId="77777777" w:rsidR="00D545E8" w:rsidRPr="002C50F6" w:rsidRDefault="00D545E8"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6216 sayılı Anayasa Mahkemesinin Kuruluşu ve Yargılama Usulleri Hakkında Kanun’un bireysel başvuru kararı üzerine yeniden yargılama ile ilgili hükmü şöyledir:</w:t>
      </w:r>
    </w:p>
    <w:p w14:paraId="043CCC0E" w14:textId="77777777" w:rsidR="00D545E8" w:rsidRPr="002C50F6" w:rsidRDefault="00D545E8" w:rsidP="008A5BF2">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 xml:space="preserve">“Kararlar MADDE 50- </w:t>
      </w:r>
    </w:p>
    <w:p w14:paraId="0F83FB1B" w14:textId="36120F6E" w:rsidR="003A6719" w:rsidRPr="002C50F6" w:rsidRDefault="00D545E8" w:rsidP="002C50F6">
      <w:pPr>
        <w:pStyle w:val="ListeParagraf"/>
        <w:tabs>
          <w:tab w:val="left" w:pos="3870"/>
        </w:tabs>
        <w:spacing w:line="360" w:lineRule="auto"/>
        <w:ind w:left="630" w:right="-378"/>
        <w:jc w:val="both"/>
        <w:rPr>
          <w:rFonts w:ascii="Palatino Linotype" w:hAnsi="Palatino Linotype" w:cs="Times New Roman"/>
          <w:bCs/>
          <w:i/>
          <w:iCs/>
        </w:rPr>
      </w:pPr>
      <w:r w:rsidRPr="002C50F6">
        <w:rPr>
          <w:rFonts w:ascii="Palatino Linotype" w:hAnsi="Palatino Linotype" w:cs="Times New Roman"/>
          <w:bCs/>
          <w:i/>
          <w:iCs/>
        </w:rPr>
        <w:t>(1) Esas inceleme sonunda, başvurucunun hakkının ihlal edildiğine ya da edilmediğine karar verilir. İhlal kararı verilmesi hâlinde ihlalin ve sonuçlarının ortadan kaldırılması için yapılması gerekenlere hükmedilir</w:t>
      </w:r>
      <w:r w:rsidR="00F83122" w:rsidRPr="002C50F6">
        <w:rPr>
          <w:rFonts w:ascii="Palatino Linotype" w:hAnsi="Palatino Linotype" w:cs="Times New Roman"/>
          <w:bCs/>
          <w:i/>
          <w:iCs/>
        </w:rPr>
        <w:t>…</w:t>
      </w:r>
      <w:r w:rsidRPr="002C50F6">
        <w:rPr>
          <w:rFonts w:ascii="Palatino Linotype" w:hAnsi="Palatino Linotype" w:cs="Times New Roman"/>
          <w:bCs/>
          <w:i/>
          <w:iCs/>
        </w:rPr>
        <w:t xml:space="preserve"> (2) Tespit edilen ihlal bir mahkeme kararından kaynaklanmışsa, ihlali ve sonuçlarını ortadan kaldırmak için yeniden yargılama yapmak üzere dosya ilgili mahkemeye gönderilir. </w:t>
      </w:r>
      <w:r w:rsidR="00F83122" w:rsidRPr="002C50F6">
        <w:rPr>
          <w:rFonts w:ascii="Palatino Linotype" w:hAnsi="Palatino Linotype" w:cs="Times New Roman"/>
          <w:bCs/>
          <w:i/>
          <w:iCs/>
        </w:rPr>
        <w:t>…</w:t>
      </w:r>
      <w:r w:rsidRPr="002C50F6">
        <w:rPr>
          <w:rFonts w:ascii="Palatino Linotype" w:hAnsi="Palatino Linotype" w:cs="Times New Roman"/>
          <w:bCs/>
          <w:i/>
          <w:iCs/>
        </w:rPr>
        <w:t>Yeniden yargılama yapmakla yükümlü mahkeme, Anayasa Mahkemesinin ihlal kararında açıkladığı ihlali ve sonuçlarını ortadan kaldıracak şekilde mümkünse dosya üzerinden karar verir.</w:t>
      </w:r>
      <w:r w:rsidR="00F83122" w:rsidRPr="002C50F6">
        <w:rPr>
          <w:rFonts w:ascii="Palatino Linotype" w:hAnsi="Palatino Linotype" w:cs="Times New Roman"/>
          <w:bCs/>
          <w:i/>
          <w:iCs/>
        </w:rPr>
        <w:t>”</w:t>
      </w:r>
    </w:p>
    <w:p w14:paraId="1FA142D1" w14:textId="16AD402F" w:rsidR="00F83122" w:rsidRPr="002C50F6" w:rsidRDefault="003A6719" w:rsidP="00C61BA4">
      <w:pPr>
        <w:tabs>
          <w:tab w:val="left" w:pos="3870"/>
        </w:tabs>
        <w:spacing w:line="360" w:lineRule="auto"/>
        <w:ind w:right="-378"/>
        <w:jc w:val="both"/>
        <w:rPr>
          <w:rFonts w:ascii="Palatino Linotype" w:hAnsi="Palatino Linotype" w:cs="Times New Roman"/>
          <w:b/>
        </w:rPr>
      </w:pPr>
      <w:r w:rsidRPr="002C50F6">
        <w:rPr>
          <w:rFonts w:ascii="Palatino Linotype" w:hAnsi="Palatino Linotype" w:cs="Times New Roman"/>
          <w:b/>
        </w:rPr>
        <w:lastRenderedPageBreak/>
        <w:t>III. Yargılamanın Yenilenmesi Talebine Neden Olan Yeni Olay</w:t>
      </w:r>
    </w:p>
    <w:p w14:paraId="7E37E5DB" w14:textId="77777777" w:rsidR="0000402A" w:rsidRPr="002C50F6"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Avrupa İnsan Hakları Mahkemesi 26 Eylül 2023 tarihinde müvekkil ile aynı suçlamaya maruz kalmış, aynı deliller ile mahkum olmuş ve hakkındaki karar kesinleşmiş olan Yüksel Yalçınkaya başvurusunda temel hak ihlali tespiti yapmıştır.</w:t>
      </w:r>
    </w:p>
    <w:p w14:paraId="381325A8" w14:textId="25023C28" w:rsidR="0006254E" w:rsidRPr="002C50F6"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Davayı Büyük Daire incelemiş ve kesin karar vermiştir.</w:t>
      </w:r>
      <w:r w:rsidR="0006254E" w:rsidRPr="002C50F6">
        <w:rPr>
          <w:rFonts w:ascii="Palatino Linotype" w:hAnsi="Palatino Linotype" w:cs="Times New Roman"/>
          <w:bCs/>
        </w:rPr>
        <w:t xml:space="preserve"> Bu dava diğer benzer davalara örnek teşkil etmesi amacıyla </w:t>
      </w:r>
      <w:r w:rsidR="0006254E" w:rsidRPr="002C50F6">
        <w:rPr>
          <w:rFonts w:ascii="Palatino Linotype" w:hAnsi="Palatino Linotype" w:cs="Times New Roman"/>
          <w:bCs/>
          <w:i/>
          <w:iCs/>
        </w:rPr>
        <w:t>“Leading Case”</w:t>
      </w:r>
      <w:r w:rsidR="0006254E" w:rsidRPr="002C50F6">
        <w:rPr>
          <w:rFonts w:ascii="Palatino Linotype" w:hAnsi="Palatino Linotype" w:cs="Times New Roman"/>
          <w:bCs/>
        </w:rPr>
        <w:t xml:space="preserve"> dava olarak seçilmiştir. AİHM, bu dava özelinden </w:t>
      </w:r>
      <w:r w:rsidR="00E40DC4" w:rsidRPr="002C50F6">
        <w:rPr>
          <w:rFonts w:ascii="Palatino Linotype" w:hAnsi="Palatino Linotype" w:cs="Times New Roman"/>
          <w:bCs/>
        </w:rPr>
        <w:t xml:space="preserve">önlerinde </w:t>
      </w:r>
      <w:r w:rsidR="0006254E" w:rsidRPr="002C50F6">
        <w:rPr>
          <w:rFonts w:ascii="Palatino Linotype" w:hAnsi="Palatino Linotype" w:cs="Times New Roman"/>
          <w:bCs/>
        </w:rPr>
        <w:t>derdest benzer 8000 dava ve Türkiye’de benzer 100000 dava bulunduğunu, dolayısıyla ortada sistemik bir sorun olduğunu tespit etmiştir.</w:t>
      </w:r>
    </w:p>
    <w:p w14:paraId="3B614BC4" w14:textId="31920AA6" w:rsidR="0006254E" w:rsidRPr="002C50F6" w:rsidRDefault="0006254E"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 xml:space="preserve">AİHM, ancak bu sorunun yargılamanın yenilenmesi dahil genel alınacak bir tedbirle çözülebileceğini, aksi halde gelecek her bir benzer başvuruyu bu davada aldığı ilkeler uyarınca sonuçlandıracağını ihtar etmiştir. </w:t>
      </w:r>
    </w:p>
    <w:p w14:paraId="7C1F5FA2" w14:textId="7E940280" w:rsidR="00F83122" w:rsidRPr="002C50F6" w:rsidRDefault="0000402A"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 xml:space="preserve"> </w:t>
      </w:r>
      <w:r w:rsidR="009C3F9F" w:rsidRPr="002C50F6">
        <w:rPr>
          <w:rFonts w:ascii="Palatino Linotype" w:hAnsi="Palatino Linotype" w:cs="Times New Roman"/>
          <w:bCs/>
        </w:rPr>
        <w:t>AİHM kararları CMK 311/1-f gereği yargılamanın yenilenmesine konu olduğu gibi, bu durum, aynı zamanda Anayasa Mahkemesi’nin İbrahim Er ve Diğerleri kararında</w:t>
      </w:r>
      <w:r w:rsidR="00D4338F" w:rsidRPr="002C50F6">
        <w:rPr>
          <w:rFonts w:ascii="Palatino Linotype" w:hAnsi="Palatino Linotype" w:cs="Times New Roman"/>
          <w:bCs/>
        </w:rPr>
        <w:t>,</w:t>
      </w:r>
      <w:r w:rsidR="009C3F9F" w:rsidRPr="002C50F6">
        <w:rPr>
          <w:rFonts w:ascii="Palatino Linotype" w:hAnsi="Palatino Linotype" w:cs="Times New Roman"/>
          <w:bCs/>
        </w:rPr>
        <w:t xml:space="preserve"> yine bir terör örgütü üyeliği ve yargılamanın yenilenmesi bağlamında</w:t>
      </w:r>
      <w:r w:rsidR="00D4338F" w:rsidRPr="002C50F6">
        <w:rPr>
          <w:rFonts w:ascii="Palatino Linotype" w:hAnsi="Palatino Linotype" w:cs="Times New Roman"/>
          <w:bCs/>
        </w:rPr>
        <w:t>,</w:t>
      </w:r>
      <w:r w:rsidR="009C3F9F" w:rsidRPr="002C50F6">
        <w:rPr>
          <w:rFonts w:ascii="Palatino Linotype" w:hAnsi="Palatino Linotype" w:cs="Times New Roman"/>
          <w:bCs/>
        </w:rPr>
        <w:t xml:space="preserve"> ortaya konulduğu gibi </w:t>
      </w:r>
      <w:r w:rsidR="009C3F9F" w:rsidRPr="002C50F6">
        <w:rPr>
          <w:rFonts w:ascii="Palatino Linotype" w:hAnsi="Palatino Linotype" w:cs="Times New Roman"/>
          <w:bCs/>
          <w:i/>
          <w:iCs/>
        </w:rPr>
        <w:t>“yeni bir olay”</w:t>
      </w:r>
      <w:r w:rsidR="009C3F9F" w:rsidRPr="002C50F6">
        <w:rPr>
          <w:rFonts w:ascii="Palatino Linotype" w:hAnsi="Palatino Linotype" w:cs="Times New Roman"/>
          <w:bCs/>
        </w:rPr>
        <w:t xml:space="preserve"> olduğundan, CMK 311/1-e kapsamında da hukuki dayanağa sahiptir.</w:t>
      </w:r>
    </w:p>
    <w:p w14:paraId="0C5324D1" w14:textId="3170B945" w:rsidR="00F83122" w:rsidRPr="002C50F6" w:rsidRDefault="009F0893"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8B6FFF">
        <w:rPr>
          <w:rFonts w:ascii="Palatino Linotype" w:hAnsi="Palatino Linotype" w:cs="Times New Roman"/>
          <w:bCs/>
          <w:highlight w:val="yellow"/>
        </w:rPr>
        <w:t>D</w:t>
      </w:r>
      <w:r w:rsidR="00D4338F" w:rsidRPr="008B6FFF">
        <w:rPr>
          <w:rFonts w:ascii="Palatino Linotype" w:hAnsi="Palatino Linotype" w:cs="Times New Roman"/>
          <w:bCs/>
          <w:highlight w:val="yellow"/>
        </w:rPr>
        <w:t>urumu</w:t>
      </w:r>
      <w:r w:rsidRPr="008B6FFF">
        <w:rPr>
          <w:rFonts w:ascii="Palatino Linotype" w:hAnsi="Palatino Linotype" w:cs="Times New Roman"/>
          <w:bCs/>
          <w:highlight w:val="yellow"/>
        </w:rPr>
        <w:t>m</w:t>
      </w:r>
      <w:r w:rsidR="008B6FFF" w:rsidRPr="008B6FFF">
        <w:rPr>
          <w:rFonts w:ascii="Palatino Linotype" w:hAnsi="Palatino Linotype" w:cs="Times New Roman"/>
          <w:bCs/>
          <w:highlight w:val="yellow"/>
        </w:rPr>
        <w:t>/eşimin/vasisi olduğum …’in durumu</w:t>
      </w:r>
      <w:r>
        <w:rPr>
          <w:rFonts w:ascii="Palatino Linotype" w:hAnsi="Palatino Linotype" w:cs="Times New Roman"/>
          <w:bCs/>
        </w:rPr>
        <w:t>,</w:t>
      </w:r>
      <w:r w:rsidR="00D4338F" w:rsidRPr="002C50F6">
        <w:rPr>
          <w:rFonts w:ascii="Palatino Linotype" w:hAnsi="Palatino Linotype" w:cs="Times New Roman"/>
          <w:bCs/>
        </w:rPr>
        <w:t xml:space="preserve"> AİHM kararına konu olan suçlama ile yüzde yüz örtüşmektedir. </w:t>
      </w:r>
      <w:r w:rsidRPr="008B6FFF">
        <w:rPr>
          <w:rFonts w:ascii="Palatino Linotype" w:hAnsi="Palatino Linotype" w:cs="Times New Roman"/>
          <w:bCs/>
          <w:highlight w:val="yellow"/>
        </w:rPr>
        <w:t>Ben de</w:t>
      </w:r>
      <w:r w:rsidR="008B6FFF" w:rsidRPr="008B6FFF">
        <w:rPr>
          <w:rFonts w:ascii="Palatino Linotype" w:hAnsi="Palatino Linotype" w:cs="Times New Roman"/>
          <w:bCs/>
          <w:highlight w:val="yellow"/>
        </w:rPr>
        <w:t>/eşim/vasisi olduğum ….</w:t>
      </w:r>
      <w:r w:rsidR="00D4338F" w:rsidRPr="008B6FFF">
        <w:rPr>
          <w:rFonts w:ascii="Palatino Linotype" w:hAnsi="Palatino Linotype" w:cs="Times New Roman"/>
          <w:bCs/>
          <w:highlight w:val="yellow"/>
        </w:rPr>
        <w:t>,</w:t>
      </w:r>
      <w:r w:rsidR="00D4338F" w:rsidRPr="002C50F6">
        <w:rPr>
          <w:rFonts w:ascii="Palatino Linotype" w:hAnsi="Palatino Linotype" w:cs="Times New Roman"/>
          <w:bCs/>
        </w:rPr>
        <w:t xml:space="preserve"> AİHM’in kastettiği sistemik sorunun bir </w:t>
      </w:r>
      <w:r w:rsidR="00D4338F" w:rsidRPr="008B6FFF">
        <w:rPr>
          <w:rFonts w:ascii="Palatino Linotype" w:hAnsi="Palatino Linotype" w:cs="Times New Roman"/>
          <w:bCs/>
          <w:highlight w:val="yellow"/>
        </w:rPr>
        <w:t>parçası</w:t>
      </w:r>
      <w:r w:rsidRPr="008B6FFF">
        <w:rPr>
          <w:rFonts w:ascii="Palatino Linotype" w:hAnsi="Palatino Linotype" w:cs="Times New Roman"/>
          <w:bCs/>
          <w:highlight w:val="yellow"/>
        </w:rPr>
        <w:t>yım</w:t>
      </w:r>
      <w:r w:rsidR="008B6FFF" w:rsidRPr="008B6FFF">
        <w:rPr>
          <w:rFonts w:ascii="Palatino Linotype" w:hAnsi="Palatino Linotype" w:cs="Times New Roman"/>
          <w:bCs/>
          <w:highlight w:val="yellow"/>
        </w:rPr>
        <w:t>/parçasıdır</w:t>
      </w:r>
      <w:r w:rsidR="00D4338F" w:rsidRPr="002C50F6">
        <w:rPr>
          <w:rFonts w:ascii="Palatino Linotype" w:hAnsi="Palatino Linotype" w:cs="Times New Roman"/>
          <w:bCs/>
        </w:rPr>
        <w:t xml:space="preserve">. AİHM, verdiği kararının benzer dosyalara, kesinleşen kararlara da uygulanmasını ve yargılamalarının yenilenmesini istemiştir. </w:t>
      </w:r>
      <w:r w:rsidR="00CD76E1" w:rsidRPr="002C50F6">
        <w:rPr>
          <w:rFonts w:ascii="Palatino Linotype" w:hAnsi="Palatino Linotype" w:cs="Times New Roman"/>
          <w:bCs/>
        </w:rPr>
        <w:t>Bu nedenle mahkemenin</w:t>
      </w:r>
      <w:r>
        <w:rPr>
          <w:rFonts w:ascii="Palatino Linotype" w:hAnsi="Palatino Linotype" w:cs="Times New Roman"/>
          <w:bCs/>
        </w:rPr>
        <w:t xml:space="preserve"> </w:t>
      </w:r>
      <w:r w:rsidR="00CD76E1" w:rsidRPr="008B6FFF">
        <w:rPr>
          <w:rFonts w:ascii="Palatino Linotype" w:hAnsi="Palatino Linotype" w:cs="Times New Roman"/>
          <w:bCs/>
          <w:highlight w:val="yellow"/>
        </w:rPr>
        <w:t>hakkı</w:t>
      </w:r>
      <w:r w:rsidRPr="008B6FFF">
        <w:rPr>
          <w:rFonts w:ascii="Palatino Linotype" w:hAnsi="Palatino Linotype" w:cs="Times New Roman"/>
          <w:bCs/>
          <w:highlight w:val="yellow"/>
        </w:rPr>
        <w:t>m</w:t>
      </w:r>
      <w:r w:rsidR="00CD76E1" w:rsidRPr="008B6FFF">
        <w:rPr>
          <w:rFonts w:ascii="Palatino Linotype" w:hAnsi="Palatino Linotype" w:cs="Times New Roman"/>
          <w:bCs/>
          <w:highlight w:val="yellow"/>
        </w:rPr>
        <w:t>da</w:t>
      </w:r>
      <w:r w:rsidR="008B6FFF" w:rsidRPr="008B6FFF">
        <w:rPr>
          <w:rFonts w:ascii="Palatino Linotype" w:hAnsi="Palatino Linotype" w:cs="Times New Roman"/>
          <w:bCs/>
          <w:highlight w:val="yellow"/>
        </w:rPr>
        <w:t>/hakkında</w:t>
      </w:r>
      <w:r w:rsidR="00CD76E1" w:rsidRPr="002C50F6">
        <w:rPr>
          <w:rFonts w:ascii="Palatino Linotype" w:hAnsi="Palatino Linotype" w:cs="Times New Roman"/>
          <w:bCs/>
        </w:rPr>
        <w:t xml:space="preserve"> yeniden yargılama yapması Anayasanın ve Sözleşme hukukunun üstünlüğünün gereğidir.</w:t>
      </w:r>
      <w:r w:rsidR="00D4338F" w:rsidRPr="002C50F6">
        <w:rPr>
          <w:rFonts w:ascii="Palatino Linotype" w:hAnsi="Palatino Linotype" w:cs="Times New Roman"/>
          <w:bCs/>
        </w:rPr>
        <w:t xml:space="preserve"> </w:t>
      </w:r>
    </w:p>
    <w:p w14:paraId="2D15CE13" w14:textId="77777777" w:rsidR="00C61BA4" w:rsidRPr="002C50F6" w:rsidRDefault="00C61BA4" w:rsidP="00C61BA4">
      <w:pPr>
        <w:spacing w:after="0"/>
        <w:rPr>
          <w:rFonts w:ascii="Palatino Linotype" w:hAnsi="Palatino Linotype" w:cs="Times New Roman"/>
          <w:b/>
          <w:lang w:val="tr"/>
        </w:rPr>
      </w:pPr>
    </w:p>
    <w:p w14:paraId="52DF9A8A" w14:textId="712B4C23" w:rsidR="008A5BF2" w:rsidRPr="002C50F6" w:rsidRDefault="00C61BA4" w:rsidP="00C61BA4">
      <w:pPr>
        <w:spacing w:after="0"/>
        <w:ind w:left="180" w:hanging="270"/>
        <w:jc w:val="both"/>
        <w:rPr>
          <w:rFonts w:ascii="Palatino Linotype" w:hAnsi="Palatino Linotype" w:cs="Times New Roman"/>
          <w:i/>
          <w:lang w:val="tr"/>
        </w:rPr>
      </w:pPr>
      <w:r w:rsidRPr="002C50F6">
        <w:rPr>
          <w:rFonts w:ascii="Palatino Linotype" w:hAnsi="Palatino Linotype" w:cs="Times New Roman"/>
          <w:b/>
          <w:lang w:val="tr"/>
        </w:rPr>
        <w:t xml:space="preserve">A- </w:t>
      </w:r>
      <w:r w:rsidR="008A5BF2" w:rsidRPr="002C50F6">
        <w:rPr>
          <w:rFonts w:ascii="Palatino Linotype" w:hAnsi="Palatino Linotype" w:cs="Times New Roman"/>
          <w:b/>
          <w:lang w:val="tr"/>
        </w:rPr>
        <w:t xml:space="preserve">AİHM’in Yüksel Yalçınkaya / Türkiye Davasının </w:t>
      </w:r>
      <w:r w:rsidRPr="002C50F6">
        <w:rPr>
          <w:rFonts w:ascii="Palatino Linotype" w:hAnsi="Palatino Linotype" w:cs="Times New Roman"/>
          <w:b/>
          <w:lang w:val="tr"/>
        </w:rPr>
        <w:t xml:space="preserve">Süreci </w:t>
      </w:r>
      <w:r w:rsidR="008A5BF2" w:rsidRPr="002C50F6">
        <w:rPr>
          <w:rFonts w:ascii="Palatino Linotype" w:hAnsi="Palatino Linotype" w:cs="Times New Roman"/>
          <w:i/>
          <w:lang w:val="tr"/>
        </w:rPr>
        <w:t xml:space="preserve">(Büyük Daire - Başvuru No. </w:t>
      </w:r>
      <w:r w:rsidRPr="002C50F6">
        <w:rPr>
          <w:rFonts w:ascii="Palatino Linotype" w:hAnsi="Palatino Linotype" w:cs="Times New Roman"/>
          <w:i/>
          <w:lang w:val="tr"/>
        </w:rPr>
        <w:t xml:space="preserve">   </w:t>
      </w:r>
      <w:r w:rsidR="008A5BF2" w:rsidRPr="002C50F6">
        <w:rPr>
          <w:rFonts w:ascii="Palatino Linotype" w:hAnsi="Palatino Linotype" w:cs="Times New Roman"/>
          <w:i/>
          <w:lang w:val="tr"/>
        </w:rPr>
        <w:t>15669/20; 26 Eylül 2023)</w:t>
      </w:r>
    </w:p>
    <w:p w14:paraId="338CBF27" w14:textId="77777777" w:rsidR="00E40DC4" w:rsidRPr="002C50F6" w:rsidRDefault="00E40DC4" w:rsidP="00C61BA4">
      <w:pPr>
        <w:spacing w:after="0"/>
        <w:ind w:left="180" w:hanging="270"/>
        <w:jc w:val="both"/>
        <w:rPr>
          <w:rFonts w:ascii="Palatino Linotype" w:hAnsi="Palatino Linotype" w:cs="Times New Roman"/>
          <w:i/>
          <w:lang w:val="tr"/>
        </w:rPr>
      </w:pPr>
    </w:p>
    <w:p w14:paraId="6CD506ED" w14:textId="2BC6667F"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iCs/>
          <w:lang w:val="tr"/>
        </w:rPr>
        <w:t>Kayseri’de bir devlet okulunda öğretmen olan başvuran Yüksel Yalçınkaya, Türk makamları tarafından "FETÖ/PDY" olarak tanımlanan silahlı terör örgütüne üyelikten 21 Mart 2017 tarihinde Kayseri Ağır Ceza Mahkemesince altı yıl üç ay hapis cezasına mahkum edilmiştir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iCs/>
          <w:lang w:val="tr"/>
        </w:rPr>
        <w:t xml:space="preserve">63). </w:t>
      </w:r>
    </w:p>
    <w:p w14:paraId="4377AE67" w14:textId="0DB3760C"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iCs/>
          <w:lang w:val="tr"/>
        </w:rPr>
        <w:t>Mahkûmiyet kararı</w:t>
      </w:r>
      <w:r w:rsidRPr="002C50F6">
        <w:rPr>
          <w:rFonts w:ascii="Palatino Linotype" w:hAnsi="Palatino Linotype" w:cs="Times New Roman"/>
          <w:bCs/>
        </w:rPr>
        <w:t xml:space="preserve">, başvuranın, "ByLock" adlı şifreli bir mesajlaşma uygulamasını kullanmasına, Bank Asya'da bir hesap sahibi olmasına, bir sendika (Aktif Eğitimciler </w:t>
      </w:r>
      <w:r w:rsidRPr="002C50F6">
        <w:rPr>
          <w:rFonts w:ascii="Palatino Linotype" w:hAnsi="Palatino Linotype" w:cs="Times New Roman"/>
          <w:bCs/>
        </w:rPr>
        <w:lastRenderedPageBreak/>
        <w:t>Sendikası) ve derneğe (Kayseri Gönüllü Eğitimciler Derneği) üye olmasına dayandırılmıştır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bCs/>
        </w:rPr>
        <w:t>1, 24, 27).</w:t>
      </w:r>
    </w:p>
    <w:p w14:paraId="616A8C71" w14:textId="59CE9939"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Başvuran, yargılanmasının ve mahkûmiyetinin Sözleşme'nin 6, 7, 8 ve 11. maddelerinin ihlali anlamına geldiğinden bahisle 17 Mart 2020 tarihinde AİHM’e başvurmuştur (</w:t>
      </w:r>
      <w:r w:rsidR="002C50F6" w:rsidRPr="00221D24">
        <w:rPr>
          <w:rFonts w:ascii="Palatino Linotype" w:hAnsi="Palatino Linotype" w:cs="Times New Roman"/>
        </w:rPr>
        <w:t>§§</w:t>
      </w:r>
      <w:r w:rsidRPr="002C50F6">
        <w:rPr>
          <w:rFonts w:ascii="Palatino Linotype" w:hAnsi="Palatino Linotype" w:cs="Times New Roman"/>
          <w:bCs/>
        </w:rPr>
        <w:t xml:space="preserve"> 1, 2).</w:t>
      </w:r>
    </w:p>
    <w:p w14:paraId="4F9AC1E3" w14:textId="6AE84378"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bCs/>
        </w:rPr>
      </w:pPr>
      <w:r w:rsidRPr="002C50F6">
        <w:rPr>
          <w:rFonts w:ascii="Palatino Linotype" w:hAnsi="Palatino Linotype" w:cs="Times New Roman"/>
          <w:bCs/>
        </w:rPr>
        <w:t xml:space="preserve">Başvuru, Mahkeme'nin İkinci Bölümü'ne havale edilmiş ve Bölüm, başvuruyu benzer vakalar açısından </w:t>
      </w:r>
      <w:r w:rsidRPr="002C50F6">
        <w:rPr>
          <w:rFonts w:ascii="Palatino Linotype" w:hAnsi="Palatino Linotype" w:cs="Times New Roman"/>
          <w:bCs/>
          <w:i/>
          <w:iCs/>
        </w:rPr>
        <w:t>“</w:t>
      </w:r>
      <w:proofErr w:type="spellStart"/>
      <w:r w:rsidRPr="002C50F6">
        <w:rPr>
          <w:rFonts w:ascii="Palatino Linotype" w:hAnsi="Palatino Linotype" w:cs="Times New Roman"/>
          <w:bCs/>
          <w:i/>
          <w:iCs/>
        </w:rPr>
        <w:t>leading</w:t>
      </w:r>
      <w:proofErr w:type="spellEnd"/>
      <w:r w:rsidRPr="002C50F6">
        <w:rPr>
          <w:rFonts w:ascii="Palatino Linotype" w:hAnsi="Palatino Linotype" w:cs="Times New Roman"/>
          <w:bCs/>
          <w:i/>
          <w:iCs/>
        </w:rPr>
        <w:t xml:space="preserve"> </w:t>
      </w:r>
      <w:proofErr w:type="spellStart"/>
      <w:r w:rsidRPr="002C50F6">
        <w:rPr>
          <w:rFonts w:ascii="Palatino Linotype" w:hAnsi="Palatino Linotype" w:cs="Times New Roman"/>
          <w:bCs/>
          <w:i/>
          <w:iCs/>
        </w:rPr>
        <w:t>case</w:t>
      </w:r>
      <w:proofErr w:type="spellEnd"/>
      <w:r w:rsidRPr="002C50F6">
        <w:rPr>
          <w:rFonts w:ascii="Palatino Linotype" w:hAnsi="Palatino Linotype" w:cs="Times New Roman"/>
          <w:bCs/>
          <w:i/>
          <w:iCs/>
        </w:rPr>
        <w:t>”</w:t>
      </w:r>
      <w:r w:rsidRPr="002C50F6">
        <w:rPr>
          <w:rFonts w:ascii="Palatino Linotype" w:hAnsi="Palatino Linotype" w:cs="Times New Roman"/>
          <w:bCs/>
        </w:rPr>
        <w:t xml:space="preserve"> (önde gelen ve diğerlerine örnek olacak) olarak (02/03/2021) seçmiştir. 3 Mayıs 2022 tarihinde, İkinci Bölüm, Büyük Daire lehine yargı yetkisinden feragat etmeye karar vermiştir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bCs/>
        </w:rPr>
        <w:t xml:space="preserve">6). </w:t>
      </w:r>
    </w:p>
    <w:p w14:paraId="7F0CFE73" w14:textId="42D3E67E"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bCs/>
        </w:rPr>
        <w:t>Büyük Daire</w:t>
      </w:r>
      <w:r w:rsidRPr="002C50F6">
        <w:rPr>
          <w:rFonts w:ascii="Palatino Linotype" w:hAnsi="Palatino Linotype" w:cs="Times New Roman"/>
          <w:iCs/>
          <w:lang w:val="tr"/>
        </w:rPr>
        <w:t>, başvuru ile ilgili duruşmayı, 18 Ocak 2023 tarihinde kamuya açık olarak gerçekleştirmiştir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iCs/>
          <w:lang w:val="tr"/>
        </w:rPr>
        <w:t>9).</w:t>
      </w:r>
      <w:r w:rsidRPr="002C50F6">
        <w:rPr>
          <w:rFonts w:ascii="Palatino Linotype" w:eastAsia="Times New Roman" w:hAnsi="Palatino Linotype" w:cs="Times New Roman"/>
          <w:lang w:val="tr" w:eastAsia="fr-CH"/>
        </w:rPr>
        <w:t xml:space="preserve"> </w:t>
      </w:r>
      <w:r w:rsidRPr="002C50F6">
        <w:rPr>
          <w:rFonts w:ascii="Palatino Linotype" w:hAnsi="Palatino Linotype" w:cs="Times New Roman"/>
          <w:iCs/>
          <w:lang w:val="tr"/>
        </w:rPr>
        <w:t>Büyük Daire halinde toplanan AİHM, 18 Ocak ve 28 Haziran 2023 tarihlerinde gerçekleştirilen kapalı müzakerelerin ardından daha sonraki bir tarihte kabul edilen kararını 26 Eylül 2023 tarihinde açıklamıştır.</w:t>
      </w:r>
    </w:p>
    <w:p w14:paraId="494DD286" w14:textId="601932F9" w:rsidR="008A5BF2" w:rsidRPr="002C50F6" w:rsidRDefault="008A5BF2" w:rsidP="002C50F6">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bCs/>
        </w:rPr>
        <w:t>AİHM</w:t>
      </w:r>
      <w:r w:rsidRPr="002C50F6">
        <w:rPr>
          <w:rFonts w:ascii="Palatino Linotype" w:hAnsi="Palatino Linotype" w:cs="Times New Roman"/>
          <w:iCs/>
          <w:lang w:val="tr"/>
        </w:rPr>
        <w:t xml:space="preserve">, AİHS’nin 7/1. Maddesinin </w:t>
      </w:r>
      <w:r w:rsidRPr="002C50F6">
        <w:rPr>
          <w:rFonts w:ascii="Palatino Linotype" w:hAnsi="Palatino Linotype" w:cs="Times New Roman"/>
          <w:i/>
          <w:iCs/>
          <w:lang w:val="tr"/>
        </w:rPr>
        <w:t>“Hiç kimse, işlendiği zaman ulusal veya uluslararası hukuka göre suç oluşturmayan bir eylem veya ihmalden dolayı suçlu bulunamaz. Aynı biçimde, suçun işlendiği sırada uygulanabilir olan cezadan daha ağır bir ceza verilemez.”</w:t>
      </w:r>
      <w:r w:rsidRPr="002C50F6">
        <w:rPr>
          <w:rFonts w:ascii="Palatino Linotype" w:hAnsi="Palatino Linotype" w:cs="Times New Roman"/>
          <w:lang w:val="tr"/>
        </w:rPr>
        <w:t xml:space="preserve"> hükmünü; 6/1. maddesinin </w:t>
      </w:r>
      <w:r w:rsidRPr="002C50F6">
        <w:rPr>
          <w:rFonts w:ascii="Palatino Linotype" w:hAnsi="Palatino Linotype" w:cs="Times New Roman"/>
          <w:i/>
          <w:lang w:val="tr"/>
        </w:rPr>
        <w:t xml:space="preserve">"Herkes, kendisine yöneltilen herhangi bir suç isnadının ... karara bağlanmasında, ... yasayla kurulmuş bir mahkeme tarafından ... adil bir ... duruşma yapılmasını isteme hakkına sahiptir. ..." </w:t>
      </w:r>
      <w:r w:rsidRPr="002C50F6">
        <w:rPr>
          <w:rFonts w:ascii="Palatino Linotype" w:hAnsi="Palatino Linotype" w:cs="Times New Roman"/>
          <w:iCs/>
          <w:lang w:val="tr"/>
        </w:rPr>
        <w:t>hükmünü</w:t>
      </w:r>
      <w:r w:rsidRPr="002C50F6">
        <w:rPr>
          <w:rFonts w:ascii="Palatino Linotype" w:hAnsi="Palatino Linotype" w:cs="Times New Roman"/>
          <w:lang w:val="tr"/>
        </w:rPr>
        <w:t xml:space="preserve">; 11. Maddesinin </w:t>
      </w:r>
      <w:r w:rsidRPr="002C50F6">
        <w:rPr>
          <w:rFonts w:ascii="Palatino Linotype" w:hAnsi="Palatino Linotype" w:cs="Times New Roman"/>
          <w:i/>
          <w:lang w:val="tr"/>
        </w:rPr>
        <w:t>"Herkes, çıkarlarını korumak için sendika kurma ve sendikalara üye olma hakkı da dahil olmak üzere, barışçıl olarak toplanma ve başkalarıyla birlikte örgütlenme özgürlüğü hakkına sahiptir.”</w:t>
      </w:r>
      <w:r w:rsidRPr="002C50F6">
        <w:rPr>
          <w:rFonts w:ascii="Palatino Linotype" w:hAnsi="Palatino Linotype" w:cs="Times New Roman"/>
          <w:iCs/>
          <w:lang w:val="tr"/>
        </w:rPr>
        <w:t xml:space="preserve"> hükmünü dikkate alarak, </w:t>
      </w:r>
      <w:r w:rsidRPr="002C50F6">
        <w:rPr>
          <w:rFonts w:ascii="Palatino Linotype" w:hAnsi="Palatino Linotype" w:cs="Times New Roman"/>
          <w:lang w:val="tr"/>
        </w:rPr>
        <w:t xml:space="preserve">adeta TCK’nın örgüt üyeliği ile ilgili 314/2. Maddesinin bir unsuruymuş gibi değerlendirilen ByLock uygulamasını kullanmanın ve yine faaliyet icra ettikleri dönemde yasal olan Bank Asya’da hesap sahibi olunması ve yine yasal bir dernek ve sendikada üye olunması hususlarının terör örgütü üyeliği suç unsuru haline getirilmesi, Bylock verilerinin başvuran ile paylaşılmaması, </w:t>
      </w:r>
      <w:r w:rsidR="00C61BA4" w:rsidRPr="002C50F6">
        <w:rPr>
          <w:rFonts w:ascii="Palatino Linotype" w:hAnsi="Palatino Linotype" w:cs="Times New Roman"/>
          <w:lang w:val="tr"/>
        </w:rPr>
        <w:t xml:space="preserve">verilerin güvenilirliğine ilişkin şüphelerin giderilmesi noktasında açıklama yapılmaması, </w:t>
      </w:r>
      <w:r w:rsidRPr="002C50F6">
        <w:rPr>
          <w:rFonts w:ascii="Palatino Linotype" w:hAnsi="Palatino Linotype" w:cs="Times New Roman"/>
          <w:lang w:val="tr"/>
        </w:rPr>
        <w:t xml:space="preserve">silahların eşitliği ve çelişmeli yargılama hakkının sağlanmaması, dernek ve sendika üyeliklerin sözleşmede korunan temel hak ve yasal olması, tüm bu haklar kullanılırken hukuk ve yasaya güvenilmesi ve gelecekte bunlardan dolayı </w:t>
      </w:r>
      <w:proofErr w:type="spellStart"/>
      <w:r w:rsidRPr="002C50F6">
        <w:rPr>
          <w:rFonts w:ascii="Palatino Linotype" w:hAnsi="Palatino Linotype" w:cs="Times New Roman"/>
          <w:lang w:val="tr"/>
        </w:rPr>
        <w:t>suçlanılacağının</w:t>
      </w:r>
      <w:proofErr w:type="spellEnd"/>
      <w:r w:rsidRPr="002C50F6">
        <w:rPr>
          <w:rFonts w:ascii="Palatino Linotype" w:hAnsi="Palatino Linotype" w:cs="Times New Roman"/>
          <w:lang w:val="tr"/>
        </w:rPr>
        <w:t xml:space="preserve"> öngörülmemesi</w:t>
      </w:r>
      <w:r w:rsidR="0099678B" w:rsidRPr="002C50F6">
        <w:rPr>
          <w:rFonts w:ascii="Palatino Linotype" w:hAnsi="Palatino Linotype" w:cs="Times New Roman"/>
          <w:lang w:val="tr"/>
        </w:rPr>
        <w:t xml:space="preserve">, TCK’nın 314/2. maddesinin </w:t>
      </w:r>
      <w:r w:rsidR="0099678B" w:rsidRPr="002C50F6">
        <w:rPr>
          <w:rFonts w:ascii="Palatino Linotype" w:hAnsi="Palatino Linotype" w:cs="Times New Roman"/>
          <w:iCs/>
          <w:lang w:val="tr"/>
        </w:rPr>
        <w:t>yorumlanma şeklinin, bu hükmün kapsamını öngörülemeyen bir şekilde genişletmesi, keyfi müdahalelere karşı gerekli asgari korumayı sağlamaması</w:t>
      </w:r>
      <w:r w:rsidR="00C70A1B" w:rsidRPr="002C50F6">
        <w:rPr>
          <w:rFonts w:ascii="Palatino Linotype" w:hAnsi="Palatino Linotype" w:cs="Times New Roman"/>
          <w:iCs/>
          <w:lang w:val="tr"/>
        </w:rPr>
        <w:t xml:space="preserve"> </w:t>
      </w:r>
      <w:r w:rsidRPr="002C50F6">
        <w:rPr>
          <w:rFonts w:ascii="Palatino Linotype" w:hAnsi="Palatino Linotype" w:cs="Times New Roman"/>
          <w:lang w:val="tr"/>
        </w:rPr>
        <w:t>gibi nedenlerle anılan Sözleşme hükümlerinin ihlal edildiğine karar vermiştir</w:t>
      </w:r>
      <w:r w:rsidR="002C50F6">
        <w:rPr>
          <w:rFonts w:ascii="Palatino Linotype" w:hAnsi="Palatino Linotype" w:cs="Times New Roman"/>
          <w:lang w:val="tr"/>
        </w:rPr>
        <w:t>.</w:t>
      </w:r>
    </w:p>
    <w:p w14:paraId="49923CA4" w14:textId="77777777" w:rsidR="008A5BF2" w:rsidRPr="002C50F6" w:rsidRDefault="008A5BF2" w:rsidP="008A5BF2">
      <w:pPr>
        <w:spacing w:line="360" w:lineRule="auto"/>
        <w:jc w:val="both"/>
        <w:rPr>
          <w:rFonts w:ascii="Palatino Linotype" w:hAnsi="Palatino Linotype" w:cs="Times New Roman"/>
          <w:b/>
          <w:bCs/>
          <w:iCs/>
          <w:lang w:val="tr"/>
        </w:rPr>
      </w:pPr>
      <w:bookmarkStart w:id="0" w:name="_Hlk146742266"/>
      <w:r w:rsidRPr="002C50F6">
        <w:rPr>
          <w:rFonts w:ascii="Palatino Linotype" w:hAnsi="Palatino Linotype" w:cs="Times New Roman"/>
          <w:b/>
          <w:bCs/>
          <w:lang w:val="tr"/>
        </w:rPr>
        <w:lastRenderedPageBreak/>
        <w:t>B- Kararın Ulusal Bağlayıcılığı ve Benzer Genel Dosyalara Uygulanması Yükümlülüğü</w:t>
      </w:r>
    </w:p>
    <w:bookmarkEnd w:id="0"/>
    <w:p w14:paraId="02B8DE4A" w14:textId="747EEAB3" w:rsidR="008A5BF2" w:rsidRPr="002C50F6" w:rsidRDefault="008A5BF2" w:rsidP="004063DF">
      <w:pPr>
        <w:pStyle w:val="ListeParagraf"/>
        <w:numPr>
          <w:ilvl w:val="0"/>
          <w:numId w:val="2"/>
        </w:numPr>
        <w:tabs>
          <w:tab w:val="left" w:pos="3870"/>
        </w:tabs>
        <w:spacing w:line="360" w:lineRule="auto"/>
        <w:ind w:left="630" w:right="-378"/>
        <w:jc w:val="both"/>
        <w:rPr>
          <w:rFonts w:ascii="Palatino Linotype" w:hAnsi="Palatino Linotype" w:cs="Times New Roman"/>
          <w:i/>
          <w:lang w:val="tr"/>
        </w:rPr>
      </w:pPr>
      <w:r w:rsidRPr="002C50F6">
        <w:rPr>
          <w:rFonts w:ascii="Palatino Linotype" w:hAnsi="Palatino Linotype" w:cs="Times New Roman"/>
          <w:iCs/>
          <w:lang w:val="tr"/>
        </w:rPr>
        <w:t xml:space="preserve">AİHM, Sözleşme'nin 46. </w:t>
      </w:r>
      <w:r w:rsidR="008B6FFF">
        <w:rPr>
          <w:rFonts w:ascii="Palatino Linotype" w:hAnsi="Palatino Linotype" w:cs="Times New Roman"/>
          <w:iCs/>
          <w:lang w:val="tr"/>
        </w:rPr>
        <w:t>m</w:t>
      </w:r>
      <w:r w:rsidRPr="002C50F6">
        <w:rPr>
          <w:rFonts w:ascii="Palatino Linotype" w:hAnsi="Palatino Linotype" w:cs="Times New Roman"/>
          <w:iCs/>
          <w:lang w:val="tr"/>
        </w:rPr>
        <w:t xml:space="preserve">addesinde yer alan </w:t>
      </w:r>
      <w:r w:rsidRPr="002C50F6">
        <w:rPr>
          <w:rFonts w:ascii="Palatino Linotype" w:hAnsi="Palatino Linotype" w:cs="Times New Roman"/>
          <w:i/>
          <w:lang w:val="tr"/>
        </w:rPr>
        <w:t>"1. Yüksek Sözleşmeci Taraflar, taraf oldukları her davada Mahkeme'nin nihai kararına uymayı taahhüt ederler."</w:t>
      </w:r>
      <w:r w:rsidRPr="002C50F6">
        <w:rPr>
          <w:rFonts w:ascii="Palatino Linotype" w:hAnsi="Palatino Linotype" w:cs="Times New Roman"/>
          <w:iCs/>
          <w:lang w:val="tr"/>
        </w:rPr>
        <w:t xml:space="preserve"> biçimindeki kural gereği, davalı Devlet'e, tespit edilen ihlale son verme</w:t>
      </w:r>
      <w:r w:rsidR="004063DF" w:rsidRPr="002C50F6">
        <w:rPr>
          <w:rFonts w:ascii="Palatino Linotype" w:hAnsi="Palatino Linotype" w:cs="Times New Roman"/>
          <w:iCs/>
          <w:lang w:val="tr"/>
        </w:rPr>
        <w:t>si</w:t>
      </w:r>
      <w:r w:rsidRPr="002C50F6">
        <w:rPr>
          <w:rFonts w:ascii="Palatino Linotype" w:hAnsi="Palatino Linotype" w:cs="Times New Roman"/>
          <w:iCs/>
          <w:lang w:val="tr"/>
        </w:rPr>
        <w:t xml:space="preserve"> ve ihlalden önceki durumu mümkün olduğunca eski haline getirecek şekilde sonuçlarını telafi etmesi, yargılamanın yenilenmesi, </w:t>
      </w:r>
      <w:r w:rsidRPr="008B6FFF">
        <w:rPr>
          <w:rFonts w:ascii="Palatino Linotype" w:hAnsi="Palatino Linotype" w:cs="Times New Roman"/>
          <w:i/>
          <w:lang w:val="tr"/>
        </w:rPr>
        <w:t>“benzer vakalara ilişkin”</w:t>
      </w:r>
      <w:r w:rsidRPr="002C50F6">
        <w:rPr>
          <w:rFonts w:ascii="Palatino Linotype" w:hAnsi="Palatino Linotype" w:cs="Times New Roman"/>
          <w:iCs/>
          <w:lang w:val="tr"/>
        </w:rPr>
        <w:t xml:space="preserve"> olarak da aynı tedbirlerin alınması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iCs/>
          <w:lang w:val="tr"/>
        </w:rPr>
        <w:t>413-418), sistematik olan bu sorunun yüz</w:t>
      </w:r>
      <w:r w:rsidR="002C50F6">
        <w:rPr>
          <w:rFonts w:ascii="Palatino Linotype" w:hAnsi="Palatino Linotype" w:cs="Times New Roman"/>
          <w:iCs/>
          <w:lang w:val="tr"/>
        </w:rPr>
        <w:t xml:space="preserve"> </w:t>
      </w:r>
      <w:r w:rsidRPr="002C50F6">
        <w:rPr>
          <w:rFonts w:ascii="Palatino Linotype" w:hAnsi="Palatino Linotype" w:cs="Times New Roman"/>
          <w:iCs/>
          <w:lang w:val="tr"/>
        </w:rPr>
        <w:t>binden fazla dosyayı etkilediği ve etkilemeye devam etmesi nedeniyle bu sorunun ihlal gerekçeleri bağlamında çözülmesi yükümlülüğü</w:t>
      </w:r>
      <w:r w:rsidR="004063DF" w:rsidRPr="002C50F6">
        <w:rPr>
          <w:rFonts w:ascii="Palatino Linotype" w:hAnsi="Palatino Linotype" w:cs="Times New Roman"/>
          <w:iCs/>
          <w:lang w:val="tr"/>
        </w:rPr>
        <w:t>nü</w:t>
      </w:r>
      <w:r w:rsidRPr="002C50F6">
        <w:rPr>
          <w:rFonts w:ascii="Palatino Linotype" w:hAnsi="Palatino Linotype" w:cs="Times New Roman"/>
          <w:iCs/>
          <w:lang w:val="tr"/>
        </w:rPr>
        <w:t xml:space="preserve"> getirmiştir.</w:t>
      </w:r>
    </w:p>
    <w:p w14:paraId="0934795B" w14:textId="2F737C7D"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iCs/>
          <w:lang w:val="tr"/>
        </w:rPr>
        <w:t xml:space="preserve">Mahkeme'nin içtihadına göre, bir ihlalin çok sayıda insanı etkileyen sistemik bir sorundan </w:t>
      </w:r>
      <w:r w:rsidRPr="002C50F6">
        <w:rPr>
          <w:rFonts w:ascii="Palatino Linotype" w:hAnsi="Palatino Linotype" w:cs="Times New Roman"/>
          <w:bCs/>
        </w:rPr>
        <w:t>kaynaklandığı</w:t>
      </w:r>
      <w:r w:rsidRPr="002C50F6">
        <w:rPr>
          <w:rFonts w:ascii="Palatino Linotype" w:hAnsi="Palatino Linotype" w:cs="Times New Roman"/>
          <w:iCs/>
          <w:lang w:val="tr"/>
        </w:rPr>
        <w:t xml:space="preserve"> durumlarda, böyle bir kararın icrası için ulusal düzeyde genel tedbirler alınması gerekecektir. Mahkeme İçtüzüğü'nün 61. maddesi uyarınca pilot karar usulü çerçevesinde sıklıkla başvurulmasına rağmen, Mahkeme bu usulün uygulanmadığı davalarda da genel tedbirlere işaret etmiştir. İster bir pilot karar çerçevesinde ister başka bir şekilde yapılmış olsun, bu tür göstergelerle amaçlanan, ulusal düzeydeki sistemik sorunları çözerek Sözleşmeci Devletlerin Sözleşme sistemindeki rollerini yerine getirmelerine yardımcı olmaktır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iCs/>
          <w:lang w:val="tr"/>
        </w:rPr>
        <w:t>416).</w:t>
      </w:r>
    </w:p>
    <w:p w14:paraId="3D203B94" w14:textId="007D8FDF"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iCs/>
          <w:lang w:val="tr"/>
        </w:rPr>
        <w:t xml:space="preserve">Mahkeme bu bağlamda, Bakanlar Komitesi'nin Rec(2004)6 sayılı Tavsiye Kararında belirtildiği üzere, Devletlerin Sözleşme ihlallerinin altında yatan sorunları çözme konusundaki genel yükümlülüğüne işaret etmektedir. Ayrıca, Sözleşmeci Devletlerin, Mahkeme tarafından tespit edilen sistemik ve yapısal insan hakları sorunlarını çözme ve Reykjavik'te düzenlenen son Devlet ve Hükümet Başkanları Zirvesi sırasında açık bir şekilde ifade edildiği üzere, bağlayıcı niteliklerini göz önünde bulundurarak nihai kararlarının tam, etkili ve hızlı bir şekilde uygulanmasını sağlama konusundaki taahhütlerini de not eder (bkz. ilgili görülerek yukarıdaki 204. paragrafta atıfta bulunulan Reykjavik Deklarasyonu Ek IV). Mahkeme'nin kaygısı, ulusal insan hakları koruma sisteminde tespit edilen bir kusurun hızlı ve etkili bir şekilde düzeltilmesini kolaylaştırmaktır ve yukarıdaki 408. paragrafta belirtildiği gibi, Komite kararları sadece önüne getirilen davaları karara bağlamakla kalmaz. Bu nedenle, böyle bir kusur tespit edildiğinde, ulusal makamlar, Bakanlar Komitesi'nin denetimine tabi olarak, Sözleşme sisteminin temelini oluşturan ikincillik ilkesine uygun olarak - gerekirse geriye dönük </w:t>
      </w:r>
      <w:r w:rsidRPr="002C50F6">
        <w:rPr>
          <w:rFonts w:ascii="Palatino Linotype" w:hAnsi="Palatino Linotype" w:cs="Times New Roman"/>
          <w:iCs/>
          <w:lang w:val="tr"/>
        </w:rPr>
        <w:lastRenderedPageBreak/>
        <w:t>olarak - gerekli telafi tedbirlerini almakla görevlidir; böylece Mahkeme, bir dizi benzer davadaki ihlal bulgusunu tekrarlamak zorunda kalmaz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iCs/>
          <w:lang w:val="tr"/>
        </w:rPr>
        <w:t>417).</w:t>
      </w:r>
    </w:p>
    <w:p w14:paraId="189A6AFC" w14:textId="2618B64C"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bCs/>
        </w:rPr>
        <w:t>Mahkeme</w:t>
      </w:r>
      <w:r w:rsidRPr="002C50F6">
        <w:rPr>
          <w:rFonts w:ascii="Palatino Linotype" w:hAnsi="Palatino Linotype" w:cs="Times New Roman"/>
          <w:iCs/>
          <w:lang w:val="tr"/>
        </w:rPr>
        <w:t xml:space="preserve"> önceki kararlarındaki şu paragrafa atfını yenilemiştir: </w:t>
      </w:r>
      <w:r w:rsidRPr="002C50F6">
        <w:rPr>
          <w:rFonts w:ascii="Palatino Linotype" w:hAnsi="Palatino Linotype" w:cs="Times New Roman"/>
          <w:i/>
          <w:lang w:val="tr"/>
        </w:rPr>
        <w:t>"Ayrıca, Mahkeme'nin Sözleşme kapsamındaki temel görevinin, Sözleşme'nin 19. maddesinde tanımlandığı üzere, 'Yüksek Sözleşmeci Tarafların Sözleşme ve Protokollerinde üstlendikleri taahhütlere uyulmasını sağlamak' olduğu da hatırlanmalıdır. Sözleşme'ye ilişkin herhangi bir sorunun kalmadığı davalarda sürekli olarak bireysel kararlar verilmesi gerekliliğinin bu görevle uyumlu olduğu söylenemez. Bu yargısal uygulama, Sözleşme kapsamındaki insan hakları korumasının güçlendirilmesine yararlı veya anlamlı bir şekilde katkıda bulunmaz; ..."</w:t>
      </w:r>
      <w:r w:rsidRPr="002C50F6">
        <w:rPr>
          <w:rFonts w:ascii="Palatino Linotype" w:hAnsi="Palatino Linotype" w:cs="Times New Roman"/>
          <w:iCs/>
          <w:lang w:val="tr"/>
        </w:rPr>
        <w:t xml:space="preserve">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iCs/>
          <w:lang w:val="tr"/>
        </w:rPr>
        <w:t>417).</w:t>
      </w:r>
    </w:p>
    <w:p w14:paraId="2F9A20CB" w14:textId="5757B77F" w:rsidR="008A5BF2" w:rsidRPr="002C50F6" w:rsidRDefault="008A5BF2" w:rsidP="002C50F6">
      <w:pPr>
        <w:pStyle w:val="ListeParagraf"/>
        <w:numPr>
          <w:ilvl w:val="0"/>
          <w:numId w:val="2"/>
        </w:numPr>
        <w:tabs>
          <w:tab w:val="left" w:pos="3870"/>
        </w:tabs>
        <w:spacing w:line="360" w:lineRule="auto"/>
        <w:ind w:left="630" w:right="-378"/>
        <w:jc w:val="both"/>
        <w:rPr>
          <w:rFonts w:ascii="Palatino Linotype" w:hAnsi="Palatino Linotype" w:cs="Times New Roman"/>
          <w:b/>
          <w:bCs/>
          <w:iCs/>
          <w:lang w:val="tr"/>
        </w:rPr>
      </w:pPr>
      <w:r w:rsidRPr="002C50F6">
        <w:rPr>
          <w:rFonts w:ascii="Palatino Linotype" w:hAnsi="Palatino Linotype" w:cs="Times New Roman"/>
          <w:iCs/>
          <w:lang w:val="tr"/>
        </w:rPr>
        <w:t xml:space="preserve">Bu </w:t>
      </w:r>
      <w:r w:rsidRPr="002C50F6">
        <w:rPr>
          <w:rFonts w:ascii="Palatino Linotype" w:hAnsi="Palatino Linotype" w:cs="Times New Roman"/>
          <w:bCs/>
        </w:rPr>
        <w:t>nedenle</w:t>
      </w:r>
      <w:r w:rsidRPr="002C50F6">
        <w:rPr>
          <w:rFonts w:ascii="Palatino Linotype" w:hAnsi="Palatino Linotype" w:cs="Times New Roman"/>
          <w:iCs/>
          <w:lang w:val="tr"/>
        </w:rPr>
        <w:t xml:space="preserve"> Mahkeme, gelecekte çok sayıda davada benzer ihlalleri tespit etmek zorunda kalmamak için, mevcut kararda tespit edilen kusurların, ilgili ve mümkün olduğu ölçüde, Türk makamları tarafından daha geniş bir ölçekte - yani mevcut başvuranın özel davasının ötesinde - ele alınması gerektiği görüşündedir. Dolayısıyla, davalı Devlet'in Sözleşme'nin 46. maddesi kapsamındaki yükümlülüklerine uygun olarak, mevcut karardan, </w:t>
      </w:r>
      <w:r w:rsidRPr="002C50F6">
        <w:rPr>
          <w:rFonts w:ascii="Palatino Linotype" w:hAnsi="Palatino Linotype" w:cs="Times New Roman"/>
          <w:b/>
          <w:bCs/>
          <w:iCs/>
          <w:lang w:val="tr"/>
        </w:rPr>
        <w:t>özellikle ulusal mahkemeler önünde görülmekte olan davalarla sınırlı olmamak üzere</w:t>
      </w:r>
      <w:r w:rsidRPr="002C50F6">
        <w:rPr>
          <w:rFonts w:ascii="Palatino Linotype" w:hAnsi="Palatino Linotype" w:cs="Times New Roman"/>
          <w:iCs/>
          <w:lang w:val="tr"/>
        </w:rPr>
        <w:t xml:space="preserve">, </w:t>
      </w:r>
      <w:r w:rsidR="00AB0224" w:rsidRPr="002C50F6">
        <w:rPr>
          <w:rFonts w:ascii="Palatino Linotype" w:hAnsi="Palatino Linotype" w:cs="Times New Roman"/>
          <w:i/>
          <w:lang w:val="tr"/>
        </w:rPr>
        <w:t>(yani kesinleşen dosyalar da dahil)</w:t>
      </w:r>
      <w:r w:rsidR="00AB0224" w:rsidRPr="002C50F6">
        <w:rPr>
          <w:rFonts w:ascii="Palatino Linotype" w:hAnsi="Palatino Linotype" w:cs="Times New Roman"/>
          <w:b/>
          <w:bCs/>
          <w:i/>
          <w:lang w:val="tr"/>
        </w:rPr>
        <w:t xml:space="preserve"> </w:t>
      </w:r>
      <w:r w:rsidRPr="002C50F6">
        <w:rPr>
          <w:rFonts w:ascii="Palatino Linotype" w:hAnsi="Palatino Linotype" w:cs="Times New Roman"/>
          <w:iCs/>
          <w:lang w:val="tr"/>
        </w:rPr>
        <w:t>gerekli sonuçları çıkarmak ve burada ihlal bulgularına yol açan yukarıda tespit edilen sorunu çözmek için uygun olan diğer genel tedbirleri alması gerekmektedir. Daha spesifik olarak, ulusal mahkemelerin, mevcut kararda yorumlandığı ve uygulandığı şekliyle ilgili Sözleşme standartlarını gerekli şekilde dikkate almaları lazımdır. Mahkeme bu bağlamda, Sözleşme'nin 46. maddesinin, usulüne uygun olarak yürürlüğe konulmuş uluslararası anlaşmaların kanun hükmünde olduğu ve bunların anayasaya uygunluğuna itiraz etmek için Anayasa Mahkemesine başvurulamayacağı şeklindeki Türkiye Anayasası'nın 90</w:t>
      </w:r>
      <w:r w:rsidR="008B6FFF">
        <w:rPr>
          <w:rFonts w:ascii="Palatino Linotype" w:hAnsi="Palatino Linotype" w:cs="Times New Roman"/>
          <w:iCs/>
          <w:lang w:val="tr"/>
        </w:rPr>
        <w:t>/</w:t>
      </w:r>
      <w:r w:rsidRPr="002C50F6">
        <w:rPr>
          <w:rFonts w:ascii="Palatino Linotype" w:hAnsi="Palatino Linotype" w:cs="Times New Roman"/>
          <w:iCs/>
          <w:lang w:val="tr"/>
        </w:rPr>
        <w:t>5</w:t>
      </w:r>
      <w:r w:rsidR="008B6FFF">
        <w:rPr>
          <w:rFonts w:ascii="Palatino Linotype" w:hAnsi="Palatino Linotype" w:cs="Times New Roman"/>
          <w:iCs/>
          <w:lang w:val="tr"/>
        </w:rPr>
        <w:t>.</w:t>
      </w:r>
      <w:r w:rsidRPr="002C50F6">
        <w:rPr>
          <w:rFonts w:ascii="Palatino Linotype" w:hAnsi="Palatino Linotype" w:cs="Times New Roman"/>
          <w:iCs/>
          <w:lang w:val="tr"/>
        </w:rPr>
        <w:t xml:space="preserve"> maddesi uyarınca Türkiye'de anayasal bir kural hükmünde olduğunun altını çizmiştir (</w:t>
      </w:r>
      <w:r w:rsidR="002C50F6" w:rsidRPr="00221D24">
        <w:rPr>
          <w:rFonts w:ascii="Palatino Linotype" w:hAnsi="Palatino Linotype" w:cs="Times New Roman"/>
        </w:rPr>
        <w:t>§</w:t>
      </w:r>
      <w:r w:rsidR="002C50F6">
        <w:rPr>
          <w:rFonts w:ascii="Palatino Linotype" w:hAnsi="Palatino Linotype" w:cs="Times New Roman"/>
        </w:rPr>
        <w:t xml:space="preserve"> </w:t>
      </w:r>
      <w:r w:rsidRPr="002C50F6">
        <w:rPr>
          <w:rFonts w:ascii="Palatino Linotype" w:hAnsi="Palatino Linotype" w:cs="Times New Roman"/>
          <w:iCs/>
          <w:lang w:val="tr"/>
        </w:rPr>
        <w:t>418).</w:t>
      </w:r>
    </w:p>
    <w:p w14:paraId="46E8CEA8" w14:textId="77777777" w:rsidR="008A5BF2" w:rsidRPr="002C50F6" w:rsidRDefault="008A5BF2" w:rsidP="008A5BF2">
      <w:pPr>
        <w:spacing w:line="360" w:lineRule="auto"/>
        <w:jc w:val="both"/>
        <w:rPr>
          <w:rFonts w:ascii="Palatino Linotype" w:hAnsi="Palatino Linotype" w:cs="Times New Roman"/>
          <w:b/>
          <w:bCs/>
          <w:iCs/>
          <w:lang w:val="tr"/>
        </w:rPr>
      </w:pPr>
      <w:r w:rsidRPr="002C50F6">
        <w:rPr>
          <w:rFonts w:ascii="Palatino Linotype" w:hAnsi="Palatino Linotype" w:cs="Times New Roman"/>
          <w:b/>
          <w:bCs/>
          <w:iCs/>
          <w:lang w:val="tr"/>
        </w:rPr>
        <w:t xml:space="preserve">C- Anayasa Mahkemesi İbrahim Er Kararındaki Objektif Etki Görüşü </w:t>
      </w:r>
    </w:p>
    <w:p w14:paraId="6C4CE4BC" w14:textId="77777777"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iCs/>
        </w:rPr>
        <w:t>Anayasa Mahkemesi, Yılmaz Çelik Başvurusu (Başvuru Numarası: 2014/13117) ile ilgili kararında TCK’nın 314/2. Maddesi gereği Hizb-ut Tahrir terör örgütü üyeliğinden mahkum olan başvuranın dosyasını incelemiş ve 19/7/2018 tarihli kararı ile anılan yapının bir terör örgütü olma unsurlarına sahip olma yönündeki mahkeme gerekçesini yetersiz görmüş ve adil yargılama hakkının ihlal edildiğine karar vermiş ve anılan başvurucu yeniden yargılanarak beraat etmiştir.</w:t>
      </w:r>
    </w:p>
    <w:p w14:paraId="5CEFFB1A" w14:textId="77777777"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bCs/>
        </w:rPr>
        <w:lastRenderedPageBreak/>
        <w:t>Anayasa</w:t>
      </w:r>
      <w:r w:rsidRPr="002C50F6">
        <w:rPr>
          <w:rFonts w:ascii="Palatino Linotype" w:hAnsi="Palatino Linotype" w:cs="Times New Roman"/>
          <w:iCs/>
        </w:rPr>
        <w:t xml:space="preserve"> </w:t>
      </w:r>
      <w:r w:rsidRPr="002C50F6">
        <w:rPr>
          <w:rFonts w:ascii="Palatino Linotype" w:hAnsi="Palatino Linotype" w:cs="Times New Roman"/>
          <w:bCs/>
        </w:rPr>
        <w:t>Mahkemesinin</w:t>
      </w:r>
      <w:r w:rsidRPr="002C50F6">
        <w:rPr>
          <w:rFonts w:ascii="Palatino Linotype" w:hAnsi="Palatino Linotype" w:cs="Times New Roman"/>
          <w:iCs/>
        </w:rPr>
        <w:t xml:space="preserve"> Yılmaz Çelik kararı sonrasında Hizb-ut Tahrire üye oldukları gerekçesiyle cezalandırılan birçok başvurucu, farklı yerlerdeki ilk derece mahkemelerinden yargılanmanın yenilenmesi taleplerinde bulunmuştur. Bazı ilk derece mahkemelerinin yapılan bu başvurular sonrasında yeniden yargılama taleplerinin kabulüne karar verdiği ve kişiler hakkında yeniden bir değerlendirme yaptığı anlaşılmıştır. İstanbul 13. Ağır Ceza Mahkemesinin 2/2/2021 tarihli bir kararı (2021/16 D. İş), Adana 7. Ağır Ceza Mahkemesinin 3/9/2020 ve 16/9/2021 tarihli iki ayrı kararı (E.2009/89, K.2010/79 sayılı iyi ayrı ek karar), Erzurum 2. Ağır Ceza Mahkemesinin 21/2/2019 tarihli bir ek kararı (E.2009/239, K.2012/300), Diyarbakır 7. Ağır Ceza Mahkemesinin 25/3/2019 tarihli bir kararı (2019/237 D. İş) bu kararlardan bazılarıdır.</w:t>
      </w:r>
    </w:p>
    <w:p w14:paraId="7D81098E" w14:textId="77777777"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iCs/>
          <w:lang w:val="tr"/>
        </w:rPr>
        <w:t>Ancak aynı örgüt üyeliğinden kesin hükümle mahkum olan ve AYM’ye de bireysel başvuru yapmamış olan İbrahim Er</w:t>
      </w:r>
      <w:r w:rsidRPr="002C50F6">
        <w:rPr>
          <w:rFonts w:ascii="Palatino Linotype" w:hAnsi="Palatino Linotype" w:cs="Times New Roman"/>
          <w:iCs/>
        </w:rPr>
        <w:t xml:space="preserve"> ve Diğerleri, AYM kararı gereği yargılamanın yenilenmesi için yerel mahkemelerde yaptıkları başvurular reddedilince, bu kişiler AYM’ye bireysel başvuruda bulunmuşlardır (Başvuru Numarası: 2019/33281) Karar Tarihi: 26/1/2023.</w:t>
      </w:r>
    </w:p>
    <w:p w14:paraId="62EA2E50" w14:textId="3DE6033D" w:rsidR="00AB0224" w:rsidRPr="002C50F6" w:rsidRDefault="00AB0224" w:rsidP="008A5BF2">
      <w:pPr>
        <w:pStyle w:val="ListeParagraf"/>
        <w:numPr>
          <w:ilvl w:val="0"/>
          <w:numId w:val="2"/>
        </w:numPr>
        <w:tabs>
          <w:tab w:val="left" w:pos="3870"/>
        </w:tabs>
        <w:spacing w:line="360" w:lineRule="auto"/>
        <w:ind w:left="630" w:right="-378"/>
        <w:jc w:val="both"/>
        <w:rPr>
          <w:rFonts w:ascii="Palatino Linotype" w:hAnsi="Palatino Linotype" w:cs="Times New Roman"/>
          <w:i/>
          <w:lang w:val="tr"/>
        </w:rPr>
      </w:pPr>
      <w:r w:rsidRPr="002C50F6">
        <w:rPr>
          <w:rFonts w:ascii="Palatino Linotype" w:hAnsi="Palatino Linotype" w:cs="Times New Roman"/>
          <w:iCs/>
        </w:rPr>
        <w:t xml:space="preserve">AYM, bu başvurunun 36. paragrafında şu tespiti yapmıştır: </w:t>
      </w:r>
      <w:r w:rsidRPr="002C50F6">
        <w:rPr>
          <w:rFonts w:ascii="Palatino Linotype" w:hAnsi="Palatino Linotype" w:cs="Times New Roman"/>
          <w:i/>
        </w:rPr>
        <w:t>“Öte yandan anılan kararda, Anayasa Mahkemesi ile Avrupa İnsan Hakları Mahkemesinin (AİHM) ihlal kararlarının ve sonuçlarının ortadan kaldırılmasına dönük yeniden yargılama taleplerine ilişkin iddiaların adil yargılanma hakkının kapsamında kaldığı açıkça vurgulanmıştır (Nihat Akbulak, § 39)”</w:t>
      </w:r>
    </w:p>
    <w:p w14:paraId="5A58891E" w14:textId="37338C2C" w:rsidR="008A5BF2"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iCs/>
          <w:lang w:val="tr"/>
        </w:rPr>
        <w:t xml:space="preserve">AYM, Yılmaz Çelik kararında aynı konuyu incelediğini ve ihlal tespit ettiğini, bu </w:t>
      </w:r>
      <w:r w:rsidRPr="002C50F6">
        <w:rPr>
          <w:rFonts w:ascii="Palatino Linotype" w:hAnsi="Palatino Linotype" w:cs="Times New Roman"/>
          <w:bCs/>
        </w:rPr>
        <w:t>anayasal</w:t>
      </w:r>
      <w:r w:rsidRPr="002C50F6">
        <w:rPr>
          <w:rFonts w:ascii="Palatino Linotype" w:hAnsi="Palatino Linotype" w:cs="Times New Roman"/>
          <w:iCs/>
          <w:lang w:val="tr"/>
        </w:rPr>
        <w:t xml:space="preserve"> yorumun objektif etkisi (Yılmaz Çelik kararı </w:t>
      </w:r>
      <w:r w:rsidR="002C50F6" w:rsidRPr="00221D24">
        <w:rPr>
          <w:rFonts w:ascii="Palatino Linotype" w:hAnsi="Palatino Linotype" w:cs="Times New Roman"/>
        </w:rPr>
        <w:t>§</w:t>
      </w:r>
      <w:r w:rsidRPr="002C50F6">
        <w:rPr>
          <w:rFonts w:ascii="Palatino Linotype" w:hAnsi="Palatino Linotype" w:cs="Times New Roman"/>
          <w:iCs/>
          <w:lang w:val="tr"/>
        </w:rPr>
        <w:t xml:space="preserve"> 45 ve sonrası) ve AYM kararının aynı mahiyette olan diğer olaylara da uygulanması gerekliliği kapsamında yerel mahkemelerin yargılanmasının yenilenmesi talebinin reddinin, gerekçeli karar hakkı bağlamında adil yargılama hakkını ihlal ettiğini tespit etmiştir. AYM’nin bu gerekçesi yukarıda AİHM’in </w:t>
      </w:r>
      <w:r w:rsidR="00265EA3" w:rsidRPr="002C50F6">
        <w:rPr>
          <w:rFonts w:ascii="Palatino Linotype" w:hAnsi="Palatino Linotype" w:cs="Times New Roman"/>
          <w:iCs/>
          <w:lang w:val="tr"/>
        </w:rPr>
        <w:t>18-22</w:t>
      </w:r>
      <w:r w:rsidRPr="002C50F6">
        <w:rPr>
          <w:rFonts w:ascii="Palatino Linotype" w:hAnsi="Palatino Linotype" w:cs="Times New Roman"/>
          <w:iCs/>
          <w:lang w:val="tr"/>
        </w:rPr>
        <w:t xml:space="preserve">. </w:t>
      </w:r>
      <w:r w:rsidR="002C50F6">
        <w:rPr>
          <w:rFonts w:ascii="Palatino Linotype" w:hAnsi="Palatino Linotype" w:cs="Times New Roman"/>
          <w:iCs/>
          <w:lang w:val="tr"/>
        </w:rPr>
        <w:t>p</w:t>
      </w:r>
      <w:r w:rsidRPr="002C50F6">
        <w:rPr>
          <w:rFonts w:ascii="Palatino Linotype" w:hAnsi="Palatino Linotype" w:cs="Times New Roman"/>
          <w:iCs/>
          <w:lang w:val="tr"/>
        </w:rPr>
        <w:t>aragraflarında belirtilen görüşü ile aynıdır.</w:t>
      </w:r>
    </w:p>
    <w:p w14:paraId="4B344545" w14:textId="7314C32C" w:rsidR="00265EA3" w:rsidRPr="002C50F6" w:rsidRDefault="008A5BF2" w:rsidP="008A5BF2">
      <w:pPr>
        <w:pStyle w:val="ListeParagraf"/>
        <w:numPr>
          <w:ilvl w:val="0"/>
          <w:numId w:val="2"/>
        </w:numPr>
        <w:tabs>
          <w:tab w:val="left" w:pos="3870"/>
        </w:tabs>
        <w:spacing w:line="360" w:lineRule="auto"/>
        <w:ind w:left="630" w:right="-378"/>
        <w:jc w:val="both"/>
        <w:rPr>
          <w:rFonts w:ascii="Palatino Linotype" w:hAnsi="Palatino Linotype" w:cs="Times New Roman"/>
          <w:iCs/>
          <w:lang w:val="tr"/>
        </w:rPr>
      </w:pPr>
      <w:r w:rsidRPr="002C50F6">
        <w:rPr>
          <w:rFonts w:ascii="Palatino Linotype" w:hAnsi="Palatino Linotype" w:cs="Times New Roman"/>
          <w:iCs/>
          <w:lang w:val="tr"/>
        </w:rPr>
        <w:t xml:space="preserve">Her iki mahkeme de aslında şunu söylemiştir: Eğer mahkeme (AYM-AİHM) Sözleşme ve Anayasa’da tespit edilen bir hakkın ihlaline hükmetmişse başvuru ister bireysel olsun isterse seçilmiş pilot dosya olsun, bu durum anılan mahkemelerin önüne getirilmesine gerek kalmaksızın benzer tüm </w:t>
      </w:r>
      <w:r w:rsidR="00265EA3" w:rsidRPr="002C50F6">
        <w:rPr>
          <w:rFonts w:ascii="Palatino Linotype" w:hAnsi="Palatino Linotype" w:cs="Times New Roman"/>
          <w:iCs/>
          <w:lang w:val="tr"/>
        </w:rPr>
        <w:t xml:space="preserve">derdest ve kesinleşmiş </w:t>
      </w:r>
      <w:r w:rsidRPr="002C50F6">
        <w:rPr>
          <w:rFonts w:ascii="Palatino Linotype" w:hAnsi="Palatino Linotype" w:cs="Times New Roman"/>
          <w:iCs/>
          <w:lang w:val="tr"/>
        </w:rPr>
        <w:t>işlemlere ve davalara da uygulanması gerekir. İdare ve yargı bu hususta gerekli hassasiyeti göstermek ve önlemleri almak zorundadır.</w:t>
      </w:r>
    </w:p>
    <w:p w14:paraId="6CB133CF" w14:textId="62674491" w:rsidR="00F83122" w:rsidRPr="002C50F6" w:rsidRDefault="00265EA3" w:rsidP="008A5BF2">
      <w:pPr>
        <w:tabs>
          <w:tab w:val="left" w:pos="3870"/>
        </w:tabs>
        <w:spacing w:line="360" w:lineRule="auto"/>
        <w:ind w:right="-378"/>
        <w:jc w:val="both"/>
        <w:rPr>
          <w:rFonts w:ascii="Palatino Linotype" w:hAnsi="Palatino Linotype" w:cs="Times New Roman"/>
          <w:b/>
          <w:lang w:val="tr"/>
        </w:rPr>
      </w:pPr>
      <w:r w:rsidRPr="002C50F6">
        <w:rPr>
          <w:rFonts w:ascii="Palatino Linotype" w:hAnsi="Palatino Linotype" w:cs="Times New Roman"/>
          <w:b/>
          <w:lang w:val="tr"/>
        </w:rPr>
        <w:t>IV. Sonuç</w:t>
      </w:r>
    </w:p>
    <w:p w14:paraId="37CBFB00" w14:textId="67E18850" w:rsidR="008D5592" w:rsidRPr="002C50F6" w:rsidRDefault="00DD4EB8" w:rsidP="008D3063">
      <w:pPr>
        <w:pStyle w:val="ListeParagraf"/>
        <w:numPr>
          <w:ilvl w:val="0"/>
          <w:numId w:val="2"/>
        </w:numPr>
        <w:tabs>
          <w:tab w:val="left" w:pos="3870"/>
        </w:tabs>
        <w:spacing w:line="360" w:lineRule="auto"/>
        <w:ind w:left="630" w:right="-378"/>
        <w:jc w:val="both"/>
        <w:rPr>
          <w:rFonts w:ascii="Palatino Linotype" w:hAnsi="Palatino Linotype" w:cs="Times New Roman"/>
        </w:rPr>
      </w:pPr>
      <w:r w:rsidRPr="002C50F6">
        <w:rPr>
          <w:rFonts w:ascii="Palatino Linotype" w:hAnsi="Palatino Linotype" w:cs="Times New Roman"/>
        </w:rPr>
        <w:lastRenderedPageBreak/>
        <w:t>A</w:t>
      </w:r>
      <w:r w:rsidR="008D5592" w:rsidRPr="002C50F6">
        <w:rPr>
          <w:rFonts w:ascii="Palatino Linotype" w:hAnsi="Palatino Linotype" w:cs="Times New Roman"/>
        </w:rPr>
        <w:t xml:space="preserve">İHM ve </w:t>
      </w:r>
      <w:r w:rsidRPr="002C50F6">
        <w:rPr>
          <w:rFonts w:ascii="Palatino Linotype" w:hAnsi="Palatino Linotype" w:cs="Times New Roman"/>
        </w:rPr>
        <w:t xml:space="preserve">AYM’ye </w:t>
      </w:r>
      <w:r w:rsidR="008D5592" w:rsidRPr="002C50F6">
        <w:rPr>
          <w:rFonts w:ascii="Palatino Linotype" w:hAnsi="Palatino Linotype" w:cs="Times New Roman"/>
        </w:rPr>
        <w:t xml:space="preserve">yapılan </w:t>
      </w:r>
      <w:r w:rsidRPr="002C50F6">
        <w:rPr>
          <w:rFonts w:ascii="Palatino Linotype" w:hAnsi="Palatino Linotype" w:cs="Times New Roman"/>
        </w:rPr>
        <w:t xml:space="preserve">bireysel başvuru sonucunda verilen kararlar ile bireysel başvurunun doğası gereği bu kararların gerekçeleri, yasama, yürütme, yargı ve Türkiye örneğinde gerçek kişiler açısından bağlayıcıdır ve bu bağlayıcılık, somut olay temelinde yapılan incelemenin genel hukuk düzeni açısından etki göstermesine neden olmaktadır. Kamu organları, bir şikâyetçiyle aynı durumda olan kişilerle olan ilişkisini, bu olaya ilişkin bireysel başvurunun sonuçlarını görmezlikten gelerek kuramaz. Yasama, yürütme veya yargı bünyesinde yer alan bir kamusal güç, bireysel başvuruya konu olan eylem veya eylemsizliğin tekrarı halinde, bu eylem ve eylemsizliğin </w:t>
      </w:r>
      <w:r w:rsidR="005D1E85">
        <w:rPr>
          <w:rFonts w:ascii="Palatino Linotype" w:hAnsi="Palatino Linotype" w:cs="Times New Roman"/>
        </w:rPr>
        <w:t>A</w:t>
      </w:r>
      <w:r w:rsidRPr="002C50F6">
        <w:rPr>
          <w:rFonts w:ascii="Palatino Linotype" w:hAnsi="Palatino Linotype" w:cs="Times New Roman"/>
        </w:rPr>
        <w:t>nayasa</w:t>
      </w:r>
      <w:r w:rsidR="005D1E85">
        <w:rPr>
          <w:rFonts w:ascii="Palatino Linotype" w:hAnsi="Palatino Linotype" w:cs="Times New Roman"/>
        </w:rPr>
        <w:t>’</w:t>
      </w:r>
      <w:r w:rsidRPr="002C50F6">
        <w:rPr>
          <w:rFonts w:ascii="Palatino Linotype" w:hAnsi="Palatino Linotype" w:cs="Times New Roman"/>
        </w:rPr>
        <w:t xml:space="preserve">ya aykırı sonuçları olacağını görebilir. Bu nedenle, ihlalden kaçınmak ve AYM/AİHM kararına uygun biçimde </w:t>
      </w:r>
      <w:r w:rsidR="005D1E85">
        <w:rPr>
          <w:rFonts w:ascii="Palatino Linotype" w:hAnsi="Palatino Linotype" w:cs="Times New Roman"/>
        </w:rPr>
        <w:t>A</w:t>
      </w:r>
      <w:r w:rsidRPr="002C50F6">
        <w:rPr>
          <w:rFonts w:ascii="Palatino Linotype" w:hAnsi="Palatino Linotype" w:cs="Times New Roman"/>
        </w:rPr>
        <w:t>nayasa</w:t>
      </w:r>
      <w:r w:rsidR="005D1E85">
        <w:rPr>
          <w:rFonts w:ascii="Palatino Linotype" w:hAnsi="Palatino Linotype" w:cs="Times New Roman"/>
        </w:rPr>
        <w:t>’</w:t>
      </w:r>
      <w:r w:rsidRPr="002C50F6">
        <w:rPr>
          <w:rFonts w:ascii="Palatino Linotype" w:hAnsi="Palatino Linotype" w:cs="Times New Roman"/>
        </w:rPr>
        <w:t>ya/</w:t>
      </w:r>
      <w:r w:rsidR="005D1E85">
        <w:rPr>
          <w:rFonts w:ascii="Palatino Linotype" w:hAnsi="Palatino Linotype" w:cs="Times New Roman"/>
        </w:rPr>
        <w:t>S</w:t>
      </w:r>
      <w:r w:rsidRPr="002C50F6">
        <w:rPr>
          <w:rFonts w:ascii="Palatino Linotype" w:hAnsi="Palatino Linotype" w:cs="Times New Roman"/>
        </w:rPr>
        <w:t>özleşme</w:t>
      </w:r>
      <w:r w:rsidR="005D1E85">
        <w:rPr>
          <w:rFonts w:ascii="Palatino Linotype" w:hAnsi="Palatino Linotype" w:cs="Times New Roman"/>
        </w:rPr>
        <w:t>’</w:t>
      </w:r>
      <w:r w:rsidRPr="002C50F6">
        <w:rPr>
          <w:rFonts w:ascii="Palatino Linotype" w:hAnsi="Palatino Linotype" w:cs="Times New Roman"/>
        </w:rPr>
        <w:t xml:space="preserve">ye </w:t>
      </w:r>
      <w:r w:rsidRPr="002C50F6">
        <w:rPr>
          <w:rFonts w:ascii="Palatino Linotype" w:hAnsi="Palatino Linotype" w:cs="Times New Roman"/>
          <w:i/>
          <w:iCs/>
        </w:rPr>
        <w:t>“dikkat etmek”</w:t>
      </w:r>
      <w:r w:rsidRPr="002C50F6">
        <w:rPr>
          <w:rFonts w:ascii="Palatino Linotype" w:hAnsi="Palatino Linotype" w:cs="Times New Roman"/>
        </w:rPr>
        <w:t xml:space="preserve"> durumunda kalır.</w:t>
      </w:r>
    </w:p>
    <w:p w14:paraId="547AAA1B" w14:textId="5B276A9D" w:rsidR="00CC34E0" w:rsidRPr="002C50F6" w:rsidRDefault="008D5592" w:rsidP="007E4BD4">
      <w:pPr>
        <w:pStyle w:val="ListeParagraf"/>
        <w:numPr>
          <w:ilvl w:val="0"/>
          <w:numId w:val="2"/>
        </w:numPr>
        <w:tabs>
          <w:tab w:val="left" w:pos="3870"/>
        </w:tabs>
        <w:spacing w:line="360" w:lineRule="auto"/>
        <w:ind w:left="630" w:right="-378"/>
        <w:jc w:val="both"/>
        <w:rPr>
          <w:rFonts w:ascii="Palatino Linotype" w:hAnsi="Palatino Linotype" w:cs="Times New Roman"/>
        </w:rPr>
      </w:pPr>
      <w:r w:rsidRPr="002C50F6">
        <w:rPr>
          <w:rFonts w:ascii="Palatino Linotype" w:hAnsi="Palatino Linotype" w:cs="Times New Roman"/>
        </w:rPr>
        <w:t>Yukarıda izah edildiği üzere hem AYM hem de AİHM</w:t>
      </w:r>
      <w:r w:rsidR="00DD4EB8" w:rsidRPr="002C50F6">
        <w:rPr>
          <w:rFonts w:ascii="Palatino Linotype" w:hAnsi="Palatino Linotype" w:cs="Times New Roman"/>
        </w:rPr>
        <w:t xml:space="preserve"> </w:t>
      </w:r>
      <w:r w:rsidR="00DD4EB8" w:rsidRPr="002C50F6">
        <w:rPr>
          <w:rFonts w:ascii="Palatino Linotype" w:hAnsi="Palatino Linotype" w:cs="Times New Roman"/>
          <w:b/>
          <w:bCs/>
        </w:rPr>
        <w:t>mahkeme kararının objektif etkisi</w:t>
      </w:r>
      <w:r w:rsidRPr="002C50F6">
        <w:rPr>
          <w:rFonts w:ascii="Palatino Linotype" w:hAnsi="Palatino Linotype" w:cs="Times New Roman"/>
          <w:b/>
          <w:bCs/>
        </w:rPr>
        <w:t>nin</w:t>
      </w:r>
      <w:r w:rsidR="00DD4EB8" w:rsidRPr="002C50F6">
        <w:rPr>
          <w:rFonts w:ascii="Palatino Linotype" w:hAnsi="Palatino Linotype" w:cs="Times New Roman"/>
        </w:rPr>
        <w:t xml:space="preserve"> </w:t>
      </w:r>
      <w:r w:rsidRPr="002C50F6">
        <w:rPr>
          <w:rFonts w:ascii="Palatino Linotype" w:hAnsi="Palatino Linotype" w:cs="Times New Roman"/>
        </w:rPr>
        <w:t xml:space="preserve">olduğunu, benzer davalara ve işlemlere uygulanması gerektiğini </w:t>
      </w:r>
      <w:r w:rsidR="00DD4EB8" w:rsidRPr="002C50F6">
        <w:rPr>
          <w:rFonts w:ascii="Palatino Linotype" w:hAnsi="Palatino Linotype" w:cs="Times New Roman"/>
        </w:rPr>
        <w:t xml:space="preserve">açıkça </w:t>
      </w:r>
      <w:r w:rsidRPr="002C50F6">
        <w:rPr>
          <w:rFonts w:ascii="Palatino Linotype" w:hAnsi="Palatino Linotype" w:cs="Times New Roman"/>
        </w:rPr>
        <w:t xml:space="preserve">ortaya koymuşlardır. </w:t>
      </w:r>
      <w:r w:rsidR="00DD4EB8" w:rsidRPr="002C50F6">
        <w:rPr>
          <w:rFonts w:ascii="Palatino Linotype" w:hAnsi="Palatino Linotype" w:cs="Times New Roman"/>
        </w:rPr>
        <w:t xml:space="preserve">Mahkemenin objektif işlevi, Anayasa’nın </w:t>
      </w:r>
      <w:r w:rsidR="00A5622E" w:rsidRPr="002C50F6">
        <w:rPr>
          <w:rFonts w:ascii="Palatino Linotype" w:hAnsi="Palatino Linotype" w:cs="Times New Roman"/>
        </w:rPr>
        <w:t xml:space="preserve">ve Sözleşme’nin </w:t>
      </w:r>
      <w:r w:rsidR="00DD4EB8" w:rsidRPr="002C50F6">
        <w:rPr>
          <w:rFonts w:ascii="Palatino Linotype" w:hAnsi="Palatino Linotype" w:cs="Times New Roman"/>
        </w:rPr>
        <w:t>temel hak ve özgürlükleri düzenleyen hükümlerini yorumlamak ve bunların uygulanmasını gözetmektir.</w:t>
      </w:r>
      <w:r w:rsidR="00A5622E" w:rsidRPr="002C50F6">
        <w:rPr>
          <w:rFonts w:ascii="Palatino Linotype" w:hAnsi="Palatino Linotype" w:cs="Times New Roman"/>
        </w:rPr>
        <w:t xml:space="preserve"> Dolayısıyla</w:t>
      </w:r>
      <w:r w:rsidR="005D1E85">
        <w:rPr>
          <w:rFonts w:ascii="Palatino Linotype" w:hAnsi="Palatino Linotype" w:cs="Times New Roman"/>
        </w:rPr>
        <w:t>,</w:t>
      </w:r>
      <w:r w:rsidR="00A5622E" w:rsidRPr="002C50F6">
        <w:rPr>
          <w:rFonts w:ascii="Palatino Linotype" w:hAnsi="Palatino Linotype" w:cs="Times New Roman"/>
        </w:rPr>
        <w:t xml:space="preserve"> </w:t>
      </w:r>
      <w:r w:rsidR="00AE78E5" w:rsidRPr="002C50F6">
        <w:rPr>
          <w:rFonts w:ascii="Palatino Linotype" w:hAnsi="Palatino Linotype" w:cs="Times New Roman"/>
          <w:bCs/>
        </w:rPr>
        <w:t>AYM/AİHM’in bir bireysel başvuruda verdiği ihlâl kararı benzer diğer olaylar açısından da bağlayıcıdır ve kamu otoriteleri ve mahkemelerce dikkate alın</w:t>
      </w:r>
      <w:r w:rsidR="00A5622E" w:rsidRPr="002C50F6">
        <w:rPr>
          <w:rFonts w:ascii="Palatino Linotype" w:hAnsi="Palatino Linotype" w:cs="Times New Roman"/>
          <w:bCs/>
        </w:rPr>
        <w:t>malıdır</w:t>
      </w:r>
      <w:r w:rsidR="00AE78E5" w:rsidRPr="002C50F6">
        <w:rPr>
          <w:rFonts w:ascii="Palatino Linotype" w:hAnsi="Palatino Linotype" w:cs="Times New Roman"/>
          <w:bCs/>
        </w:rPr>
        <w:t>. Bu nedenle bireysel başvurudan beklenen faydanın sağlanabilmesi için bireysel başvurunun objektif işlevi ön plana çıkarılmalı ve bireysel başvuru kararlarının genel (</w:t>
      </w:r>
      <w:proofErr w:type="spellStart"/>
      <w:r w:rsidR="00AE78E5" w:rsidRPr="002C50F6">
        <w:rPr>
          <w:rFonts w:ascii="Palatino Linotype" w:hAnsi="Palatino Linotype" w:cs="Times New Roman"/>
          <w:bCs/>
          <w:i/>
          <w:iCs/>
        </w:rPr>
        <w:t>erga</w:t>
      </w:r>
      <w:proofErr w:type="spellEnd"/>
      <w:r w:rsidR="00AE78E5" w:rsidRPr="002C50F6">
        <w:rPr>
          <w:rFonts w:ascii="Palatino Linotype" w:hAnsi="Palatino Linotype" w:cs="Times New Roman"/>
          <w:bCs/>
          <w:i/>
          <w:iCs/>
        </w:rPr>
        <w:t xml:space="preserve"> </w:t>
      </w:r>
      <w:proofErr w:type="spellStart"/>
      <w:r w:rsidR="00AE78E5" w:rsidRPr="002C50F6">
        <w:rPr>
          <w:rFonts w:ascii="Palatino Linotype" w:hAnsi="Palatino Linotype" w:cs="Times New Roman"/>
          <w:bCs/>
          <w:i/>
          <w:iCs/>
        </w:rPr>
        <w:t>omnes</w:t>
      </w:r>
      <w:proofErr w:type="spellEnd"/>
      <w:r w:rsidR="00AE78E5" w:rsidRPr="002C50F6">
        <w:rPr>
          <w:rFonts w:ascii="Palatino Linotype" w:hAnsi="Palatino Linotype" w:cs="Times New Roman"/>
          <w:bCs/>
        </w:rPr>
        <w:t>) bağlayıcılığı hayata geçiril</w:t>
      </w:r>
      <w:r w:rsidR="00A5622E" w:rsidRPr="002C50F6">
        <w:rPr>
          <w:rFonts w:ascii="Palatino Linotype" w:hAnsi="Palatino Linotype" w:cs="Times New Roman"/>
          <w:bCs/>
        </w:rPr>
        <w:t xml:space="preserve">melidir. </w:t>
      </w:r>
      <w:r w:rsidR="00AE78E5" w:rsidRPr="002C50F6">
        <w:rPr>
          <w:rFonts w:ascii="Palatino Linotype" w:hAnsi="Palatino Linotype" w:cs="Times New Roman"/>
          <w:bCs/>
        </w:rPr>
        <w:t xml:space="preserve">Yani AYM/AİHM bir konuda ihlâl kararı verdikten sonra kamu idareleri uygulamalarını, diğer mahkemeler de kararlarını AYM/AİHM kararı ile uyumlu hale getirmelidir. Esasen bu, </w:t>
      </w:r>
      <w:r w:rsidR="00A5622E" w:rsidRPr="002C50F6">
        <w:rPr>
          <w:rFonts w:ascii="Palatino Linotype" w:hAnsi="Palatino Linotype" w:cs="Times New Roman"/>
          <w:bCs/>
        </w:rPr>
        <w:t>AİHM/</w:t>
      </w:r>
      <w:r w:rsidR="00AE78E5" w:rsidRPr="002C50F6">
        <w:rPr>
          <w:rFonts w:ascii="Palatino Linotype" w:hAnsi="Palatino Linotype" w:cs="Times New Roman"/>
          <w:bCs/>
        </w:rPr>
        <w:t xml:space="preserve">AYM’nin de belirttiği gibi, bireysel başvuru yolunun ve AYM/AİHM’in yetkisinin </w:t>
      </w:r>
      <w:r w:rsidR="00AE78E5" w:rsidRPr="005D1E85">
        <w:rPr>
          <w:rFonts w:ascii="Palatino Linotype" w:hAnsi="Palatino Linotype" w:cs="Times New Roman"/>
          <w:bCs/>
          <w:i/>
          <w:iCs/>
        </w:rPr>
        <w:t>“ikincilliği”</w:t>
      </w:r>
      <w:r w:rsidR="00AE78E5" w:rsidRPr="002C50F6">
        <w:rPr>
          <w:rFonts w:ascii="Palatino Linotype" w:hAnsi="Palatino Linotype" w:cs="Times New Roman"/>
          <w:bCs/>
        </w:rPr>
        <w:t xml:space="preserve"> ilkesinin de gereğidir. Bu nedenle</w:t>
      </w:r>
      <w:r w:rsidR="008B6FFF">
        <w:rPr>
          <w:rFonts w:ascii="Palatino Linotype" w:hAnsi="Palatino Linotype" w:cs="Times New Roman"/>
          <w:bCs/>
        </w:rPr>
        <w:t>,</w:t>
      </w:r>
      <w:r w:rsidR="00AE78E5" w:rsidRPr="002C50F6">
        <w:rPr>
          <w:rFonts w:ascii="Palatino Linotype" w:hAnsi="Palatino Linotype" w:cs="Times New Roman"/>
          <w:bCs/>
        </w:rPr>
        <w:t xml:space="preserve"> zaten Anayasa Mahkemesine</w:t>
      </w:r>
      <w:r w:rsidR="00A5622E" w:rsidRPr="002C50F6">
        <w:rPr>
          <w:rFonts w:ascii="Palatino Linotype" w:hAnsi="Palatino Linotype" w:cs="Times New Roman"/>
          <w:bCs/>
        </w:rPr>
        <w:t xml:space="preserve"> ve dolayısıyla AİHM’e</w:t>
      </w:r>
      <w:r w:rsidR="00AE78E5" w:rsidRPr="002C50F6">
        <w:rPr>
          <w:rFonts w:ascii="Palatino Linotype" w:hAnsi="Palatino Linotype" w:cs="Times New Roman"/>
          <w:bCs/>
        </w:rPr>
        <w:t xml:space="preserve"> başvurmadan önce diğer hukuk yollarının tüketilmesi koşulu getirilmiştir. Temel hak ve özgürlüklerin öncelikle kamu makamları ve derece mahkemeleri tarafından korunması gerekir.</w:t>
      </w:r>
    </w:p>
    <w:p w14:paraId="30756F25" w14:textId="77777777" w:rsidR="00CC34E0" w:rsidRPr="002C50F6" w:rsidRDefault="00DD4EB8" w:rsidP="000927EB">
      <w:pPr>
        <w:pStyle w:val="ListeParagraf"/>
        <w:numPr>
          <w:ilvl w:val="0"/>
          <w:numId w:val="2"/>
        </w:numPr>
        <w:tabs>
          <w:tab w:val="left" w:pos="3870"/>
        </w:tabs>
        <w:spacing w:line="360" w:lineRule="auto"/>
        <w:ind w:left="630" w:right="-378"/>
        <w:jc w:val="both"/>
        <w:rPr>
          <w:rFonts w:ascii="Palatino Linotype" w:hAnsi="Palatino Linotype" w:cs="Times New Roman"/>
        </w:rPr>
      </w:pPr>
      <w:r w:rsidRPr="002C50F6">
        <w:rPr>
          <w:rFonts w:ascii="Palatino Linotype" w:hAnsi="Palatino Linotype" w:cs="Times New Roman"/>
        </w:rPr>
        <w:t>Anayasa’nın 138. maddesi genel olarak yargı kararlarının, 153. maddesi ise özel olarak Anayasa Mahkemesi kararlarının bağlayıcılığını açık ve kesin bir dille düzenlemektedir. Buna göre, “</w:t>
      </w:r>
      <w:r w:rsidRPr="002C50F6">
        <w:rPr>
          <w:rFonts w:ascii="Palatino Linotype" w:hAnsi="Palatino Linotype" w:cs="Times New Roman"/>
          <w:i/>
          <w:iCs/>
        </w:rPr>
        <w:t>yasama ve yürütme organları ile idare, mahkeme kararlarına uymak zorundadır</w:t>
      </w:r>
      <w:r w:rsidRPr="002C50F6">
        <w:rPr>
          <w:rFonts w:ascii="Palatino Linotype" w:hAnsi="Palatino Linotype" w:cs="Times New Roman"/>
        </w:rPr>
        <w:t>” (m. 138) ve Anayasa Mahkemesinin kararları “</w:t>
      </w:r>
      <w:r w:rsidRPr="002C50F6">
        <w:rPr>
          <w:rFonts w:ascii="Palatino Linotype" w:hAnsi="Palatino Linotype" w:cs="Times New Roman"/>
          <w:i/>
          <w:iCs/>
        </w:rPr>
        <w:t>yasama, yürütme ve yargı organlarını, idare makamlarını, gerçek ve tüzelkişileri bağlar</w:t>
      </w:r>
      <w:r w:rsidRPr="002C50F6">
        <w:rPr>
          <w:rFonts w:ascii="Palatino Linotype" w:hAnsi="Palatino Linotype" w:cs="Times New Roman"/>
        </w:rPr>
        <w:t>” (m.153).</w:t>
      </w:r>
      <w:r w:rsidRPr="002C50F6">
        <w:rPr>
          <w:rFonts w:ascii="Palatino Linotype" w:hAnsi="Palatino Linotype" w:cs="Times New Roman"/>
          <w:color w:val="323232"/>
          <w:shd w:val="clear" w:color="auto" w:fill="FFFFFF"/>
        </w:rPr>
        <w:t xml:space="preserve"> </w:t>
      </w:r>
      <w:r w:rsidRPr="002C50F6">
        <w:rPr>
          <w:rFonts w:ascii="Palatino Linotype" w:hAnsi="Palatino Linotype" w:cs="Times New Roman"/>
        </w:rPr>
        <w:t xml:space="preserve">Anayasa Mahkemesi kararlarında vurgulandığı üzere, Anayasa'nın 153. maddesinin son fıkrasında Anayasa Mahkemesi </w:t>
      </w:r>
      <w:r w:rsidRPr="002C50F6">
        <w:rPr>
          <w:rFonts w:ascii="Palatino Linotype" w:hAnsi="Palatino Linotype" w:cs="Times New Roman"/>
        </w:rPr>
        <w:lastRenderedPageBreak/>
        <w:t>kararlarına uyma ve bu kararları değiştirmeksizin yerine getirme hususunda yargı dâhil hiçbir kuruma herhangi bir takdir yetkisi tanınmamış veya bu konuda bir istisnaya yer verilmemiştir</w:t>
      </w:r>
      <w:r w:rsidR="00CC34E0" w:rsidRPr="002C50F6">
        <w:rPr>
          <w:rFonts w:ascii="Palatino Linotype" w:hAnsi="Palatino Linotype" w:cs="Times New Roman"/>
        </w:rPr>
        <w:t xml:space="preserve"> </w:t>
      </w:r>
      <w:r w:rsidRPr="002C50F6">
        <w:rPr>
          <w:rFonts w:ascii="Palatino Linotype" w:hAnsi="Palatino Linotype" w:cs="Times New Roman"/>
        </w:rPr>
        <w:t>(Aym:</w:t>
      </w:r>
      <w:r w:rsidRPr="002C50F6">
        <w:rPr>
          <w:rFonts w:ascii="Palatino Linotype" w:hAnsi="Palatino Linotype" w:cs="Times New Roman"/>
          <w:i/>
          <w:iCs/>
          <w:color w:val="323232"/>
          <w:shd w:val="clear" w:color="auto" w:fill="FFFFFF"/>
        </w:rPr>
        <w:t xml:space="preserve"> </w:t>
      </w:r>
      <w:r w:rsidRPr="002C50F6">
        <w:rPr>
          <w:rFonts w:ascii="Palatino Linotype" w:hAnsi="Palatino Linotype" w:cs="Times New Roman"/>
          <w:i/>
          <w:iCs/>
        </w:rPr>
        <w:t>Şahin Alpay (2)</w:t>
      </w:r>
      <w:r w:rsidRPr="002C50F6">
        <w:rPr>
          <w:rFonts w:ascii="Palatino Linotype" w:hAnsi="Palatino Linotype" w:cs="Times New Roman"/>
        </w:rPr>
        <w:t> [GK], B. No: 2018/3007, 15/3/2018, § 63; </w:t>
      </w:r>
      <w:r w:rsidRPr="002C50F6">
        <w:rPr>
          <w:rFonts w:ascii="Palatino Linotype" w:hAnsi="Palatino Linotype" w:cs="Times New Roman"/>
          <w:i/>
          <w:iCs/>
        </w:rPr>
        <w:t>Kadri Enis Berberoğlu (3)</w:t>
      </w:r>
      <w:r w:rsidRPr="002C50F6">
        <w:rPr>
          <w:rFonts w:ascii="Palatino Linotype" w:hAnsi="Palatino Linotype" w:cs="Times New Roman"/>
        </w:rPr>
        <w:t>, § 102).</w:t>
      </w:r>
    </w:p>
    <w:p w14:paraId="38871179" w14:textId="7BF5BEA9" w:rsidR="00CC34E0" w:rsidRPr="002C50F6" w:rsidRDefault="00DD4EB8" w:rsidP="00826D44">
      <w:pPr>
        <w:pStyle w:val="ListeParagraf"/>
        <w:numPr>
          <w:ilvl w:val="0"/>
          <w:numId w:val="2"/>
        </w:numPr>
        <w:tabs>
          <w:tab w:val="left" w:pos="3870"/>
        </w:tabs>
        <w:spacing w:line="360" w:lineRule="auto"/>
        <w:ind w:left="630" w:right="-378"/>
        <w:jc w:val="both"/>
        <w:rPr>
          <w:rFonts w:ascii="Palatino Linotype" w:hAnsi="Palatino Linotype" w:cs="Times New Roman"/>
        </w:rPr>
      </w:pPr>
      <w:r w:rsidRPr="002C50F6">
        <w:rPr>
          <w:rFonts w:ascii="Palatino Linotype" w:hAnsi="Palatino Linotype" w:cs="Times New Roman"/>
        </w:rPr>
        <w:t xml:space="preserve">Avrupa İnsan Hakları Mahkemesi kararları, Avrupa İnsan Hakları Sözleşmesi’ne taraf Devletler açısından bağlayıcıdır. Sözleşmesi’nin 46. </w:t>
      </w:r>
      <w:r w:rsidR="005D1E85">
        <w:rPr>
          <w:rFonts w:ascii="Palatino Linotype" w:hAnsi="Palatino Linotype" w:cs="Times New Roman"/>
        </w:rPr>
        <w:t>m</w:t>
      </w:r>
      <w:r w:rsidRPr="002C50F6">
        <w:rPr>
          <w:rFonts w:ascii="Palatino Linotype" w:hAnsi="Palatino Linotype" w:cs="Times New Roman"/>
        </w:rPr>
        <w:t>addesinin 1. fıkrasına göre, Sözleşmeci Taraflar, taraf oldukları davalarda Mahkemenin kesinleşmiş kararlarına uymayı taahhüt ederler</w:t>
      </w:r>
      <w:r w:rsidR="00CC34E0" w:rsidRPr="002C50F6">
        <w:rPr>
          <w:rFonts w:ascii="Palatino Linotype" w:hAnsi="Palatino Linotype" w:cs="Times New Roman"/>
        </w:rPr>
        <w:t>.</w:t>
      </w:r>
    </w:p>
    <w:p w14:paraId="73F62854" w14:textId="77777777" w:rsidR="00060B5D" w:rsidRPr="002C50F6" w:rsidRDefault="00DD4EB8" w:rsidP="004978F0">
      <w:pPr>
        <w:pStyle w:val="ListeParagraf"/>
        <w:numPr>
          <w:ilvl w:val="0"/>
          <w:numId w:val="2"/>
        </w:numPr>
        <w:tabs>
          <w:tab w:val="left" w:pos="3870"/>
        </w:tabs>
        <w:spacing w:line="360" w:lineRule="auto"/>
        <w:ind w:left="630" w:right="-378"/>
        <w:jc w:val="both"/>
        <w:rPr>
          <w:rFonts w:ascii="Palatino Linotype" w:hAnsi="Palatino Linotype" w:cs="Times New Roman"/>
        </w:rPr>
      </w:pPr>
      <w:r w:rsidRPr="002C50F6">
        <w:rPr>
          <w:rFonts w:ascii="Palatino Linotype" w:hAnsi="Palatino Linotype" w:cs="Times New Roman"/>
        </w:rPr>
        <w:t>İlgili Devlet ihlali sona erdirmek ve mümkün olduğunca ihlal öncesi durumu yeniden sağlayacak şekilde ihlalin sonuçlarını giderme yükümlülüğü altındadır</w:t>
      </w:r>
      <w:r w:rsidR="00CC34E0" w:rsidRPr="002C50F6">
        <w:rPr>
          <w:rFonts w:ascii="Palatino Linotype" w:hAnsi="Palatino Linotype" w:cs="Times New Roman"/>
        </w:rPr>
        <w:t xml:space="preserve">. </w:t>
      </w:r>
      <w:r w:rsidRPr="002C50F6">
        <w:rPr>
          <w:rFonts w:ascii="Palatino Linotype" w:hAnsi="Palatino Linotype" w:cs="Times New Roman"/>
        </w:rPr>
        <w:t>Türkiye Cumhuriyeti AİHS’e taraf bir devlettir. AİHS’e taraf devlet olmak, AİHM’in zorunlu yargı yetkisini tanımayı ve bu yargı yetkisinin kullanılması sonucu verilen ihlal kararlarının gerektirdiği ihlal giderici tedbirleri almayı gerektirmektedir. AİHM kararlarının ihlal giderici önlemler gerektirmesi devlet sorumluluğu hukukunun temel ilkelerinin insan hakları hukuku alanında uygulanmasının doğal bir sonucudur. Devlet sorumluluğu hukukunun temel ilkeleri uluslararası hukukun tüm alanlarında geçerlidir ve AİHM bu ilkeler doğrultusunda karar vermekte, insan hakları kararlarının uygulanmasını takip eden ve Türkiye’nin de temsil edildiği Avrupa Konseyi Bakanlar Komitesi kararlarının uygulanmasını bu ilkeler doğrultusunda denetlemektedir. Buna göre, uluslararası hukukta bir kuralın ihlal edilmesi demek, adaletin bozulduğu anlamına gelmektedir. Bu adaletin tesis edilmesi için bu ihlalin devam ediyorsa sonlandırılması, mümkünse ortadan kaldırılması, bütünüyle ortadan kaldırılması mümkün değilse de zararın tazmin edilmesi gerekmektedir. Bir başka deyişle, AİHM’in kararının anlamı, uluslararası hukuka aykırılığın ulusal hukuk tarafından ortadan kaldırılması gerekliliğinin saptanmasıdır. Bu saptamanın ardından ihlali giderme ödevi ulusal mercilerindir.</w:t>
      </w:r>
    </w:p>
    <w:p w14:paraId="25F0213A" w14:textId="77777777" w:rsidR="00AE4031" w:rsidRDefault="00060B5D" w:rsidP="004978F0">
      <w:pPr>
        <w:pStyle w:val="ListeParagraf"/>
        <w:numPr>
          <w:ilvl w:val="0"/>
          <w:numId w:val="2"/>
        </w:numPr>
        <w:tabs>
          <w:tab w:val="left" w:pos="3870"/>
        </w:tabs>
        <w:spacing w:line="360" w:lineRule="auto"/>
        <w:ind w:left="630" w:right="-378"/>
        <w:jc w:val="both"/>
        <w:rPr>
          <w:rFonts w:ascii="Palatino Linotype" w:hAnsi="Palatino Linotype" w:cs="Times New Roman"/>
        </w:rPr>
      </w:pPr>
      <w:r w:rsidRPr="002C50F6">
        <w:rPr>
          <w:rFonts w:ascii="Palatino Linotype" w:hAnsi="Palatino Linotype" w:cs="Times New Roman"/>
        </w:rPr>
        <w:t>Türkiye</w:t>
      </w:r>
      <w:r w:rsidR="00AE4031" w:rsidRPr="002C50F6">
        <w:rPr>
          <w:rFonts w:ascii="Palatino Linotype" w:hAnsi="Palatino Linotype" w:cs="Times New Roman"/>
        </w:rPr>
        <w:t>’de</w:t>
      </w:r>
      <w:r w:rsidRPr="002C50F6">
        <w:rPr>
          <w:rFonts w:ascii="Palatino Linotype" w:hAnsi="Palatino Linotype" w:cs="Times New Roman"/>
        </w:rPr>
        <w:t xml:space="preserve"> de, </w:t>
      </w:r>
      <w:r w:rsidR="00AE4031" w:rsidRPr="002C50F6">
        <w:rPr>
          <w:rFonts w:ascii="Palatino Linotype" w:hAnsi="Palatino Linotype" w:cs="Times New Roman"/>
        </w:rPr>
        <w:t xml:space="preserve">Yasama, Yürütme ve Yargı </w:t>
      </w:r>
      <w:r w:rsidRPr="002C50F6">
        <w:rPr>
          <w:rFonts w:ascii="Palatino Linotype" w:hAnsi="Palatino Linotype" w:cs="Times New Roman"/>
        </w:rPr>
        <w:t xml:space="preserve">Anayasanın 90. </w:t>
      </w:r>
      <w:r w:rsidR="00AE4031" w:rsidRPr="002C50F6">
        <w:rPr>
          <w:rFonts w:ascii="Palatino Linotype" w:hAnsi="Palatino Linotype" w:cs="Times New Roman"/>
        </w:rPr>
        <w:t>m</w:t>
      </w:r>
      <w:r w:rsidRPr="002C50F6">
        <w:rPr>
          <w:rFonts w:ascii="Palatino Linotype" w:hAnsi="Palatino Linotype" w:cs="Times New Roman"/>
        </w:rPr>
        <w:t>addesi ve Sözleşme’nin 46 ile CMK’nın 311/1-e,f maddesi gereği</w:t>
      </w:r>
      <w:r w:rsidR="00AE4031" w:rsidRPr="002C50F6">
        <w:rPr>
          <w:rFonts w:ascii="Palatino Linotype" w:hAnsi="Palatino Linotype" w:cs="Times New Roman"/>
        </w:rPr>
        <w:t xml:space="preserve"> tespit edilen ihlali gidermekle yükümlüdürler.</w:t>
      </w:r>
    </w:p>
    <w:p w14:paraId="46336AE6" w14:textId="77777777" w:rsidR="00960E79" w:rsidRDefault="00960E79" w:rsidP="00960E79">
      <w:pPr>
        <w:pStyle w:val="ListeParagraf"/>
        <w:numPr>
          <w:ilvl w:val="0"/>
          <w:numId w:val="2"/>
        </w:numPr>
        <w:tabs>
          <w:tab w:val="left" w:pos="3870"/>
        </w:tabs>
        <w:spacing w:line="360" w:lineRule="auto"/>
        <w:ind w:left="630" w:right="-378"/>
        <w:jc w:val="both"/>
        <w:rPr>
          <w:rFonts w:ascii="Palatino Linotype" w:hAnsi="Palatino Linotype" w:cs="Times New Roman"/>
        </w:rPr>
      </w:pPr>
      <w:r w:rsidRPr="005F0EDC">
        <w:rPr>
          <w:rFonts w:ascii="Palatino Linotype" w:hAnsi="Palatino Linotype" w:cs="Times New Roman"/>
        </w:rPr>
        <w:t xml:space="preserve">Anayasa Mahkemesi’nin İbrahim Er kararına konu olan olayda, </w:t>
      </w:r>
      <w:r w:rsidRPr="007724B4">
        <w:rPr>
          <w:rFonts w:ascii="Palatino Linotype" w:hAnsi="Palatino Linotype" w:cs="Times New Roman"/>
          <w:b/>
          <w:bCs/>
          <w:u w:val="single"/>
        </w:rPr>
        <w:t xml:space="preserve">AYM’nin Yılmaz Çelik kararı “yeni olay” (olgu) olarak mahkemeye sunulup yargılamanın yenilenmesi talep edilmiş, ilgili mahkemeler ise bu kararın CMK madde 311/e’de belirtilen yeni olaylar ibaresi içerisine girmeyeceğini belirterek bu talebi reddetmiştir </w:t>
      </w:r>
      <w:r w:rsidRPr="007724B4">
        <w:rPr>
          <w:rFonts w:ascii="Palatino Linotype" w:hAnsi="Palatino Linotype" w:cs="Times New Roman"/>
        </w:rPr>
        <w:t>(</w:t>
      </w:r>
      <w:r>
        <w:rPr>
          <w:rFonts w:ascii="Palatino Linotype" w:hAnsi="Palatino Linotype" w:cs="Times New Roman"/>
        </w:rPr>
        <w:t xml:space="preserve">Bkz. </w:t>
      </w:r>
      <w:r w:rsidRPr="007724B4">
        <w:rPr>
          <w:rFonts w:ascii="Palatino Linotype" w:hAnsi="Palatino Linotype" w:cs="Times New Roman"/>
        </w:rPr>
        <w:t xml:space="preserve">Karşı Oy Gerekçesi </w:t>
      </w:r>
      <w:r w:rsidRPr="007724B4">
        <w:rPr>
          <w:rFonts w:ascii="Palatino Linotype" w:hAnsi="Palatino Linotype" w:cs="Times New Roman"/>
        </w:rPr>
        <w:lastRenderedPageBreak/>
        <w:t>§ 7).</w:t>
      </w:r>
      <w:r w:rsidRPr="005F0EDC">
        <w:rPr>
          <w:rFonts w:ascii="Palatino Linotype" w:hAnsi="Palatino Linotype" w:cs="Times New Roman"/>
        </w:rPr>
        <w:t xml:space="preserve"> Bu karar üzerine yapılan itiraz da reddedilmiş ve ilgililer AYM’ye bireysel başvuruda bulunmuşlardır. </w:t>
      </w:r>
    </w:p>
    <w:p w14:paraId="3D98C888" w14:textId="77777777" w:rsidR="00960E79" w:rsidRDefault="00960E79" w:rsidP="00960E79">
      <w:pPr>
        <w:pStyle w:val="ListeParagraf"/>
        <w:numPr>
          <w:ilvl w:val="0"/>
          <w:numId w:val="2"/>
        </w:numPr>
        <w:tabs>
          <w:tab w:val="left" w:pos="3870"/>
        </w:tabs>
        <w:spacing w:line="360" w:lineRule="auto"/>
        <w:ind w:left="630" w:right="-378"/>
        <w:jc w:val="both"/>
        <w:rPr>
          <w:rFonts w:ascii="Palatino Linotype" w:hAnsi="Palatino Linotype" w:cs="Times New Roman"/>
        </w:rPr>
      </w:pPr>
      <w:r w:rsidRPr="005F0EDC">
        <w:rPr>
          <w:rFonts w:ascii="Palatino Linotype" w:hAnsi="Palatino Linotype" w:cs="Times New Roman"/>
        </w:rPr>
        <w:t>AYM Genel Kurulu konuyla ilgili verdiği kararında</w:t>
      </w:r>
      <w:r>
        <w:rPr>
          <w:rFonts w:ascii="Palatino Linotype" w:hAnsi="Palatino Linotype" w:cs="Times New Roman"/>
        </w:rPr>
        <w:t>;</w:t>
      </w:r>
      <w:r w:rsidRPr="005F0EDC">
        <w:rPr>
          <w:rFonts w:ascii="Palatino Linotype" w:hAnsi="Palatino Linotype" w:cs="Times New Roman"/>
        </w:rPr>
        <w:t xml:space="preserve"> Bursa 2. Ağır Ceza Mahkemesi yeniden yargılama talebini </w:t>
      </w:r>
      <w:r w:rsidRPr="007724B4">
        <w:rPr>
          <w:rFonts w:ascii="Palatino Linotype" w:hAnsi="Palatino Linotype" w:cs="Times New Roman"/>
          <w:b/>
          <w:bCs/>
          <w:u w:val="single"/>
        </w:rPr>
        <w:t xml:space="preserve">başvurucuların aldıkları cezanın sonucunu değiştirebilecek iddialarına herhangi bir cevap vermeden reddettiğini (§ 54), başvurucular tarafından ileri sürülen ve yargılamanın sonucunu değiştirme ihtimali bulunan iddiaların dikkate alınmaması ve gereği gibi değerlendirilmemesi nedeniyle Anayasa’nın 36. maddesinde güvence altına alınan adil yargılanma hakkı kapsamında gerekçeli karar hakkının ihlal edildiğine karar verilmesi gerekir ((§ 55) </w:t>
      </w:r>
      <w:r>
        <w:rPr>
          <w:rFonts w:ascii="Palatino Linotype" w:hAnsi="Palatino Linotype" w:cs="Times New Roman"/>
        </w:rPr>
        <w:t>demiş ve ihlal kararı vermiştir.</w:t>
      </w:r>
    </w:p>
    <w:p w14:paraId="2951D995" w14:textId="4E8A2C17" w:rsidR="00960E79" w:rsidRPr="00723C68" w:rsidRDefault="00960E79" w:rsidP="00960E79">
      <w:pPr>
        <w:pStyle w:val="ListeParagraf"/>
        <w:numPr>
          <w:ilvl w:val="0"/>
          <w:numId w:val="2"/>
        </w:numPr>
        <w:tabs>
          <w:tab w:val="left" w:pos="3870"/>
        </w:tabs>
        <w:spacing w:line="360" w:lineRule="auto"/>
        <w:ind w:left="630" w:right="-378"/>
        <w:jc w:val="both"/>
        <w:rPr>
          <w:rFonts w:ascii="Palatino Linotype" w:hAnsi="Palatino Linotype" w:cs="Times New Roman"/>
          <w:b/>
          <w:bCs/>
          <w:u w:val="single"/>
        </w:rPr>
      </w:pPr>
      <w:r w:rsidRPr="00723C68">
        <w:rPr>
          <w:rFonts w:ascii="Palatino Linotype" w:hAnsi="Palatino Linotype" w:cs="Times New Roman"/>
          <w:b/>
          <w:bCs/>
          <w:u w:val="single"/>
        </w:rPr>
        <w:t xml:space="preserve">Başvurumuza konu olay ile AYM’nin İbrahim Er kararına konu olay aynıdır. AİHM’in Yalçınkaya kararında ortaya konulan ilkeler, </w:t>
      </w:r>
      <w:r w:rsidRPr="00960E79">
        <w:rPr>
          <w:rFonts w:ascii="Palatino Linotype" w:hAnsi="Palatino Linotype" w:cs="Times New Roman"/>
          <w:b/>
          <w:bCs/>
          <w:highlight w:val="yellow"/>
          <w:u w:val="single"/>
        </w:rPr>
        <w:t>aldığı</w:t>
      </w:r>
      <w:r w:rsidRPr="00960E79">
        <w:rPr>
          <w:rFonts w:ascii="Palatino Linotype" w:hAnsi="Palatino Linotype" w:cs="Times New Roman"/>
          <w:b/>
          <w:bCs/>
          <w:highlight w:val="yellow"/>
          <w:u w:val="single"/>
        </w:rPr>
        <w:t>m/eşimin aldığı/ vasisi olduğum …’in aldığı</w:t>
      </w:r>
      <w:r w:rsidRPr="00723C68">
        <w:rPr>
          <w:rFonts w:ascii="Palatino Linotype" w:hAnsi="Palatino Linotype" w:cs="Times New Roman"/>
          <w:b/>
          <w:bCs/>
          <w:u w:val="single"/>
        </w:rPr>
        <w:t xml:space="preserve"> cezanın sonucunu değiştirecek niteliktedir. Zira Yalçınkaya kararına konu olayda olduğu gibi </w:t>
      </w:r>
      <w:r w:rsidRPr="00960E79">
        <w:rPr>
          <w:rFonts w:ascii="Palatino Linotype" w:hAnsi="Palatino Linotype" w:cs="Times New Roman"/>
          <w:b/>
          <w:bCs/>
          <w:highlight w:val="yellow"/>
          <w:u w:val="single"/>
        </w:rPr>
        <w:t>yargılandığı</w:t>
      </w:r>
      <w:r w:rsidRPr="00960E79">
        <w:rPr>
          <w:rFonts w:ascii="Palatino Linotype" w:hAnsi="Palatino Linotype" w:cs="Times New Roman"/>
          <w:b/>
          <w:bCs/>
          <w:highlight w:val="yellow"/>
          <w:u w:val="single"/>
        </w:rPr>
        <w:t>m/eşimin yargılandığı/vasisi olduğum …’in yargılandığı</w:t>
      </w:r>
      <w:r w:rsidRPr="00723C68">
        <w:rPr>
          <w:rFonts w:ascii="Palatino Linotype" w:hAnsi="Palatino Linotype" w:cs="Times New Roman"/>
          <w:b/>
          <w:bCs/>
          <w:u w:val="single"/>
        </w:rPr>
        <w:t xml:space="preserve"> dosyada da suçun unsurlarının oluşup oluşmadığı dahi araştırılmamış ve kriter kabul edilen deliller suçun unsuru yerine ikame edilerek </w:t>
      </w:r>
      <w:r w:rsidRPr="00960E79">
        <w:rPr>
          <w:rFonts w:ascii="Palatino Linotype" w:hAnsi="Palatino Linotype" w:cs="Times New Roman"/>
          <w:b/>
          <w:bCs/>
          <w:highlight w:val="yellow"/>
          <w:u w:val="single"/>
        </w:rPr>
        <w:t>cezalandırıl</w:t>
      </w:r>
      <w:r w:rsidRPr="00960E79">
        <w:rPr>
          <w:rFonts w:ascii="Palatino Linotype" w:hAnsi="Palatino Linotype" w:cs="Times New Roman"/>
          <w:b/>
          <w:bCs/>
          <w:highlight w:val="yellow"/>
          <w:u w:val="single"/>
        </w:rPr>
        <w:t>dım/eşim cezalandırıldı/vasisi olduğum … cezalandırıldı.</w:t>
      </w:r>
      <w:r w:rsidRPr="00723C68">
        <w:rPr>
          <w:rFonts w:ascii="Palatino Linotype" w:hAnsi="Palatino Linotype" w:cs="Times New Roman"/>
          <w:b/>
          <w:bCs/>
          <w:u w:val="single"/>
        </w:rPr>
        <w:t xml:space="preserve"> Bu durum da hiç kuskusuz suç ve cezaların yasallığı ilkesine aykırıdır. AİHM’in Yalçınkaya kararındaki ihlal sebeplerini gerekçe yaparak ileri sürdüğümüz hususlar hiç kuşkusuz yargılamanın sonucunu değiştirecek niteliktedir ve Yalçınkaya kararındaki ihlal gerekçelerinin </w:t>
      </w:r>
      <w:r w:rsidRPr="00960E79">
        <w:rPr>
          <w:rFonts w:ascii="Palatino Linotype" w:hAnsi="Palatino Linotype" w:cs="Times New Roman"/>
          <w:b/>
          <w:bCs/>
          <w:highlight w:val="yellow"/>
          <w:u w:val="single"/>
        </w:rPr>
        <w:t>dosya</w:t>
      </w:r>
      <w:r w:rsidRPr="00960E79">
        <w:rPr>
          <w:rFonts w:ascii="Palatino Linotype" w:hAnsi="Palatino Linotype" w:cs="Times New Roman"/>
          <w:b/>
          <w:bCs/>
          <w:highlight w:val="yellow"/>
          <w:u w:val="single"/>
        </w:rPr>
        <w:t>mda/eşimin dosyasında/vasisi olduğum …’in dosyasında</w:t>
      </w:r>
      <w:r w:rsidRPr="00723C68">
        <w:rPr>
          <w:rFonts w:ascii="Palatino Linotype" w:hAnsi="Palatino Linotype" w:cs="Times New Roman"/>
          <w:b/>
          <w:bCs/>
          <w:u w:val="single"/>
        </w:rPr>
        <w:t xml:space="preserve"> tatbiki halinde müvekkil hakkında beraatı kararı verilmesi gerekmektedir. </w:t>
      </w:r>
    </w:p>
    <w:p w14:paraId="1F9C4795" w14:textId="77A869E3" w:rsidR="00AE4031" w:rsidRPr="00960E79" w:rsidRDefault="00960E79" w:rsidP="00960E79">
      <w:pPr>
        <w:pStyle w:val="ListeParagraf"/>
        <w:numPr>
          <w:ilvl w:val="0"/>
          <w:numId w:val="2"/>
        </w:numPr>
        <w:tabs>
          <w:tab w:val="left" w:pos="3870"/>
        </w:tabs>
        <w:spacing w:line="360" w:lineRule="auto"/>
        <w:ind w:left="630" w:right="-378"/>
        <w:jc w:val="both"/>
        <w:rPr>
          <w:rFonts w:ascii="Palatino Linotype" w:hAnsi="Palatino Linotype" w:cs="Times New Roman"/>
          <w:b/>
          <w:bCs/>
          <w:u w:val="single"/>
        </w:rPr>
      </w:pPr>
      <w:r>
        <w:rPr>
          <w:rFonts w:ascii="Palatino Linotype" w:hAnsi="Palatino Linotype" w:cs="Times New Roman"/>
        </w:rPr>
        <w:t xml:space="preserve">Yaptığımız yeniden yargılanma talebi değerlendirilirken, </w:t>
      </w:r>
      <w:r w:rsidRPr="00723C68">
        <w:rPr>
          <w:rFonts w:ascii="Palatino Linotype" w:hAnsi="Palatino Linotype" w:cs="Times New Roman"/>
          <w:b/>
          <w:bCs/>
          <w:u w:val="single"/>
        </w:rPr>
        <w:t xml:space="preserve">yukarıda ayrıntılı şekilde yer verilen hususlar ve iddialarımız dikkate alınarak karar verilmelidir. Aksi durumun kabulü, AYM’nin İbrahim Er kararında belirttiği üzere Anayasanın 36 ve AİHS’in 6. maddelerinde düzenlenen gerekçeli karar hakkının ihlaline sebebiyet verecektir.  </w:t>
      </w:r>
    </w:p>
    <w:p w14:paraId="42C3BC88" w14:textId="53C74B30" w:rsidR="00DD4EB8" w:rsidRPr="002C50F6" w:rsidRDefault="00AE4031" w:rsidP="00AE4031">
      <w:pPr>
        <w:pStyle w:val="ListeParagraf"/>
        <w:tabs>
          <w:tab w:val="left" w:pos="3870"/>
        </w:tabs>
        <w:spacing w:line="360" w:lineRule="auto"/>
        <w:ind w:left="0" w:right="-378"/>
        <w:jc w:val="both"/>
        <w:rPr>
          <w:rFonts w:ascii="Palatino Linotype" w:hAnsi="Palatino Linotype" w:cs="Times New Roman"/>
          <w:b/>
          <w:bCs/>
        </w:rPr>
      </w:pPr>
      <w:r w:rsidRPr="002C50F6">
        <w:rPr>
          <w:rFonts w:ascii="Palatino Linotype" w:hAnsi="Palatino Linotype" w:cs="Times New Roman"/>
          <w:b/>
          <w:bCs/>
        </w:rPr>
        <w:t>V. Talep</w:t>
      </w:r>
    </w:p>
    <w:p w14:paraId="1418B145" w14:textId="14D1C845" w:rsidR="00B64CC8" w:rsidRPr="002C50F6" w:rsidRDefault="00AE4031" w:rsidP="006112FE">
      <w:pPr>
        <w:pStyle w:val="ListeParagraf"/>
        <w:numPr>
          <w:ilvl w:val="0"/>
          <w:numId w:val="3"/>
        </w:numPr>
        <w:tabs>
          <w:tab w:val="left" w:pos="3870"/>
        </w:tabs>
        <w:spacing w:line="360" w:lineRule="auto"/>
        <w:ind w:left="990" w:right="-378"/>
        <w:jc w:val="both"/>
        <w:rPr>
          <w:rFonts w:ascii="Palatino Linotype" w:hAnsi="Palatino Linotype" w:cs="Times New Roman"/>
          <w:b/>
          <w:color w:val="010000"/>
          <w:u w:val="thick"/>
          <w:shd w:val="clear" w:color="auto" w:fill="FFFFFF"/>
        </w:rPr>
      </w:pPr>
      <w:r w:rsidRPr="002C50F6">
        <w:rPr>
          <w:rFonts w:ascii="Palatino Linotype" w:hAnsi="Palatino Linotype" w:cs="Times New Roman"/>
          <w:color w:val="010000"/>
          <w:shd w:val="clear" w:color="auto" w:fill="FFFFFF"/>
        </w:rPr>
        <w:t xml:space="preserve">Yukarıda yer verilen Yüksel Yalçınkaya AİHM kararı ve açıklamalar gereği, </w:t>
      </w:r>
      <w:r w:rsidR="00B64CC8" w:rsidRPr="000B65FA">
        <w:rPr>
          <w:rFonts w:ascii="Palatino Linotype" w:hAnsi="Palatino Linotype" w:cs="Times New Roman"/>
          <w:color w:val="010000"/>
          <w:highlight w:val="yellow"/>
          <w:shd w:val="clear" w:color="auto" w:fill="FFFFFF"/>
        </w:rPr>
        <w:t>durumu</w:t>
      </w:r>
      <w:r w:rsidR="005D1E85" w:rsidRPr="000B65FA">
        <w:rPr>
          <w:rFonts w:ascii="Palatino Linotype" w:hAnsi="Palatino Linotype" w:cs="Times New Roman"/>
          <w:color w:val="010000"/>
          <w:highlight w:val="yellow"/>
          <w:shd w:val="clear" w:color="auto" w:fill="FFFFFF"/>
        </w:rPr>
        <w:t>m</w:t>
      </w:r>
      <w:r w:rsidR="000B65FA" w:rsidRPr="000B65FA">
        <w:rPr>
          <w:rFonts w:ascii="Palatino Linotype" w:hAnsi="Palatino Linotype" w:cs="Times New Roman"/>
          <w:color w:val="010000"/>
          <w:highlight w:val="yellow"/>
          <w:shd w:val="clear" w:color="auto" w:fill="FFFFFF"/>
        </w:rPr>
        <w:t>/eşimin/vasisi olduğum ….’in dur</w:t>
      </w:r>
      <w:r w:rsidR="000B65FA">
        <w:rPr>
          <w:rFonts w:ascii="Palatino Linotype" w:hAnsi="Palatino Linotype" w:cs="Times New Roman"/>
          <w:color w:val="010000"/>
          <w:highlight w:val="yellow"/>
          <w:shd w:val="clear" w:color="auto" w:fill="FFFFFF"/>
        </w:rPr>
        <w:t>u</w:t>
      </w:r>
      <w:r w:rsidR="000B65FA" w:rsidRPr="000B65FA">
        <w:rPr>
          <w:rFonts w:ascii="Palatino Linotype" w:hAnsi="Palatino Linotype" w:cs="Times New Roman"/>
          <w:color w:val="010000"/>
          <w:highlight w:val="yellow"/>
          <w:shd w:val="clear" w:color="auto" w:fill="FFFFFF"/>
        </w:rPr>
        <w:t>mu</w:t>
      </w:r>
      <w:r w:rsidR="00B64CC8" w:rsidRPr="002C50F6">
        <w:rPr>
          <w:rFonts w:ascii="Palatino Linotype" w:hAnsi="Palatino Linotype" w:cs="Times New Roman"/>
          <w:color w:val="010000"/>
          <w:shd w:val="clear" w:color="auto" w:fill="FFFFFF"/>
        </w:rPr>
        <w:t xml:space="preserve"> </w:t>
      </w:r>
      <w:r w:rsidRPr="002C50F6">
        <w:rPr>
          <w:rFonts w:ascii="Palatino Linotype" w:hAnsi="Palatino Linotype" w:cs="Times New Roman"/>
          <w:color w:val="010000"/>
          <w:shd w:val="clear" w:color="auto" w:fill="FFFFFF"/>
        </w:rPr>
        <w:t xml:space="preserve">anılan ihlal tespitleri </w:t>
      </w:r>
      <w:r w:rsidR="00B64CC8" w:rsidRPr="002C50F6">
        <w:rPr>
          <w:rFonts w:ascii="Palatino Linotype" w:hAnsi="Palatino Linotype" w:cs="Times New Roman"/>
          <w:color w:val="010000"/>
          <w:shd w:val="clear" w:color="auto" w:fill="FFFFFF"/>
        </w:rPr>
        <w:t xml:space="preserve">ile </w:t>
      </w:r>
      <w:r w:rsidRPr="002C50F6">
        <w:rPr>
          <w:rFonts w:ascii="Palatino Linotype" w:hAnsi="Palatino Linotype" w:cs="Times New Roman"/>
          <w:color w:val="010000"/>
          <w:shd w:val="clear" w:color="auto" w:fill="FFFFFF"/>
        </w:rPr>
        <w:t>aynı mahiyette olduğundan</w:t>
      </w:r>
      <w:r w:rsidR="005D1E85">
        <w:rPr>
          <w:rFonts w:ascii="Palatino Linotype" w:hAnsi="Palatino Linotype" w:cs="Times New Roman"/>
          <w:color w:val="010000"/>
          <w:shd w:val="clear" w:color="auto" w:fill="FFFFFF"/>
        </w:rPr>
        <w:t>,</w:t>
      </w:r>
      <w:r w:rsidR="00B64CC8" w:rsidRPr="002C50F6">
        <w:rPr>
          <w:rFonts w:ascii="Palatino Linotype" w:hAnsi="Palatino Linotype" w:cs="Times New Roman"/>
          <w:color w:val="010000"/>
          <w:shd w:val="clear" w:color="auto" w:fill="FFFFFF"/>
        </w:rPr>
        <w:t xml:space="preserve"> yargılamanın yenilenmesi </w:t>
      </w:r>
      <w:r w:rsidR="00B64CC8" w:rsidRPr="000B65FA">
        <w:rPr>
          <w:rFonts w:ascii="Palatino Linotype" w:hAnsi="Palatino Linotype" w:cs="Times New Roman"/>
          <w:color w:val="010000"/>
          <w:highlight w:val="yellow"/>
          <w:shd w:val="clear" w:color="auto" w:fill="FFFFFF"/>
        </w:rPr>
        <w:t>talebimin</w:t>
      </w:r>
      <w:r w:rsidR="000B65FA" w:rsidRPr="000B65FA">
        <w:rPr>
          <w:rFonts w:ascii="Palatino Linotype" w:hAnsi="Palatino Linotype" w:cs="Times New Roman"/>
          <w:color w:val="010000"/>
          <w:highlight w:val="yellow"/>
          <w:shd w:val="clear" w:color="auto" w:fill="FFFFFF"/>
        </w:rPr>
        <w:t>/talebinin</w:t>
      </w:r>
      <w:r w:rsidR="00B64CC8" w:rsidRPr="002C50F6">
        <w:rPr>
          <w:rFonts w:ascii="Palatino Linotype" w:hAnsi="Palatino Linotype" w:cs="Times New Roman"/>
          <w:color w:val="010000"/>
          <w:shd w:val="clear" w:color="auto" w:fill="FFFFFF"/>
        </w:rPr>
        <w:t xml:space="preserve"> kabulüne A</w:t>
      </w:r>
      <w:r w:rsidR="002C50F6">
        <w:rPr>
          <w:rFonts w:ascii="Palatino Linotype" w:hAnsi="Palatino Linotype" w:cs="Times New Roman"/>
          <w:color w:val="010000"/>
          <w:shd w:val="clear" w:color="auto" w:fill="FFFFFF"/>
        </w:rPr>
        <w:t>nayasa’nın 33, 34,</w:t>
      </w:r>
      <w:r w:rsidR="00B64CC8" w:rsidRPr="002C50F6">
        <w:rPr>
          <w:rFonts w:ascii="Palatino Linotype" w:hAnsi="Palatino Linotype" w:cs="Times New Roman"/>
          <w:color w:val="010000"/>
          <w:shd w:val="clear" w:color="auto" w:fill="FFFFFF"/>
        </w:rPr>
        <w:t xml:space="preserve"> 36,</w:t>
      </w:r>
      <w:r w:rsidR="002C50F6">
        <w:rPr>
          <w:rFonts w:ascii="Palatino Linotype" w:hAnsi="Palatino Linotype" w:cs="Times New Roman"/>
          <w:color w:val="010000"/>
          <w:shd w:val="clear" w:color="auto" w:fill="FFFFFF"/>
        </w:rPr>
        <w:t xml:space="preserve"> 38,</w:t>
      </w:r>
      <w:r w:rsidR="00B64CC8" w:rsidRPr="002C50F6">
        <w:rPr>
          <w:rFonts w:ascii="Palatino Linotype" w:hAnsi="Palatino Linotype" w:cs="Times New Roman"/>
          <w:color w:val="010000"/>
          <w:shd w:val="clear" w:color="auto" w:fill="FFFFFF"/>
        </w:rPr>
        <w:t xml:space="preserve"> 90, 138, 153; AİHS 6, 7, 11, 46; 6216 sayılı Yasa 50 ve CMK 311/1-e,f maddeleri uyarınca karar verilmesi,</w:t>
      </w:r>
    </w:p>
    <w:p w14:paraId="75360FCE" w14:textId="567813D1" w:rsidR="006112FE" w:rsidRPr="002C50F6" w:rsidRDefault="005D1E85" w:rsidP="006112FE">
      <w:pPr>
        <w:pStyle w:val="ListeParagraf"/>
        <w:numPr>
          <w:ilvl w:val="0"/>
          <w:numId w:val="3"/>
        </w:numPr>
        <w:tabs>
          <w:tab w:val="left" w:pos="3870"/>
        </w:tabs>
        <w:spacing w:line="360" w:lineRule="auto"/>
        <w:ind w:left="990" w:right="-378"/>
        <w:jc w:val="both"/>
        <w:rPr>
          <w:rFonts w:ascii="Palatino Linotype" w:hAnsi="Palatino Linotype" w:cs="Times New Roman"/>
          <w:b/>
          <w:color w:val="010000"/>
          <w:u w:val="thick"/>
          <w:shd w:val="clear" w:color="auto" w:fill="FFFFFF"/>
        </w:rPr>
      </w:pPr>
      <w:r w:rsidRPr="000B65FA">
        <w:rPr>
          <w:rFonts w:ascii="Palatino Linotype" w:hAnsi="Palatino Linotype" w:cs="Times New Roman"/>
          <w:color w:val="010000"/>
          <w:highlight w:val="yellow"/>
          <w:shd w:val="clear" w:color="auto" w:fill="FFFFFF"/>
        </w:rPr>
        <w:lastRenderedPageBreak/>
        <w:t>H</w:t>
      </w:r>
      <w:r w:rsidR="00B64CC8" w:rsidRPr="000B65FA">
        <w:rPr>
          <w:rFonts w:ascii="Palatino Linotype" w:hAnsi="Palatino Linotype" w:cs="Times New Roman"/>
          <w:color w:val="010000"/>
          <w:highlight w:val="yellow"/>
          <w:shd w:val="clear" w:color="auto" w:fill="FFFFFF"/>
        </w:rPr>
        <w:t>akkı</w:t>
      </w:r>
      <w:r w:rsidRPr="000B65FA">
        <w:rPr>
          <w:rFonts w:ascii="Palatino Linotype" w:hAnsi="Palatino Linotype" w:cs="Times New Roman"/>
          <w:color w:val="010000"/>
          <w:highlight w:val="yellow"/>
          <w:shd w:val="clear" w:color="auto" w:fill="FFFFFF"/>
        </w:rPr>
        <w:t>md</w:t>
      </w:r>
      <w:r w:rsidR="00B64CC8" w:rsidRPr="000B65FA">
        <w:rPr>
          <w:rFonts w:ascii="Palatino Linotype" w:hAnsi="Palatino Linotype" w:cs="Times New Roman"/>
          <w:color w:val="010000"/>
          <w:highlight w:val="yellow"/>
          <w:shd w:val="clear" w:color="auto" w:fill="FFFFFF"/>
        </w:rPr>
        <w:t>a</w:t>
      </w:r>
      <w:r w:rsidRPr="000B65FA">
        <w:rPr>
          <w:rFonts w:ascii="Palatino Linotype" w:hAnsi="Palatino Linotype" w:cs="Times New Roman"/>
          <w:color w:val="010000"/>
          <w:highlight w:val="yellow"/>
          <w:shd w:val="clear" w:color="auto" w:fill="FFFFFF"/>
        </w:rPr>
        <w:t>ki</w:t>
      </w:r>
      <w:r w:rsidR="000B65FA" w:rsidRPr="000B65FA">
        <w:rPr>
          <w:rFonts w:ascii="Palatino Linotype" w:hAnsi="Palatino Linotype" w:cs="Times New Roman"/>
          <w:color w:val="010000"/>
          <w:highlight w:val="yellow"/>
          <w:shd w:val="clear" w:color="auto" w:fill="FFFFFF"/>
        </w:rPr>
        <w:t>/eşimin/vasisi olduğum … ‘in hakkındaki</w:t>
      </w:r>
      <w:r w:rsidR="00B64CC8" w:rsidRPr="002C50F6">
        <w:rPr>
          <w:rFonts w:ascii="Palatino Linotype" w:hAnsi="Palatino Linotype" w:cs="Times New Roman"/>
          <w:color w:val="010000"/>
          <w:shd w:val="clear" w:color="auto" w:fill="FFFFFF"/>
        </w:rPr>
        <w:t xml:space="preserve"> infazın durdurulması ve </w:t>
      </w:r>
      <w:r w:rsidR="00B64CC8" w:rsidRPr="000B65FA">
        <w:rPr>
          <w:rFonts w:ascii="Palatino Linotype" w:hAnsi="Palatino Linotype" w:cs="Times New Roman"/>
          <w:color w:val="010000"/>
          <w:highlight w:val="yellow"/>
          <w:shd w:val="clear" w:color="auto" w:fill="FFFFFF"/>
        </w:rPr>
        <w:t>salıverilme</w:t>
      </w:r>
      <w:r w:rsidRPr="000B65FA">
        <w:rPr>
          <w:rFonts w:ascii="Palatino Linotype" w:hAnsi="Palatino Linotype" w:cs="Times New Roman"/>
          <w:color w:val="010000"/>
          <w:highlight w:val="yellow"/>
          <w:shd w:val="clear" w:color="auto" w:fill="FFFFFF"/>
        </w:rPr>
        <w:t>m</w:t>
      </w:r>
      <w:r w:rsidR="000B65FA" w:rsidRPr="000B65FA">
        <w:rPr>
          <w:rFonts w:ascii="Palatino Linotype" w:hAnsi="Palatino Linotype" w:cs="Times New Roman"/>
          <w:color w:val="010000"/>
          <w:highlight w:val="yellow"/>
          <w:shd w:val="clear" w:color="auto" w:fill="FFFFFF"/>
        </w:rPr>
        <w:t>/salıverilmesi,</w:t>
      </w:r>
    </w:p>
    <w:p w14:paraId="50500138" w14:textId="30840CAB" w:rsidR="006112FE" w:rsidRPr="002C50F6" w:rsidRDefault="006112FE" w:rsidP="006112FE">
      <w:pPr>
        <w:pStyle w:val="ListeParagraf"/>
        <w:numPr>
          <w:ilvl w:val="0"/>
          <w:numId w:val="3"/>
        </w:numPr>
        <w:tabs>
          <w:tab w:val="left" w:pos="3870"/>
        </w:tabs>
        <w:spacing w:line="360" w:lineRule="auto"/>
        <w:ind w:left="990" w:right="-378"/>
        <w:jc w:val="both"/>
        <w:rPr>
          <w:rFonts w:ascii="Palatino Linotype" w:hAnsi="Palatino Linotype" w:cs="Times New Roman"/>
          <w:b/>
          <w:color w:val="010000"/>
          <w:u w:val="thick"/>
          <w:shd w:val="clear" w:color="auto" w:fill="FFFFFF"/>
        </w:rPr>
      </w:pPr>
      <w:r w:rsidRPr="002C50F6">
        <w:rPr>
          <w:rFonts w:ascii="Palatino Linotype" w:hAnsi="Palatino Linotype" w:cs="Times New Roman"/>
          <w:color w:val="010000"/>
          <w:shd w:val="clear" w:color="auto" w:fill="FFFFFF"/>
        </w:rPr>
        <w:t>Yeniden yargılama sonucunda</w:t>
      </w:r>
      <w:r w:rsidR="005D1E85">
        <w:rPr>
          <w:rFonts w:ascii="Palatino Linotype" w:hAnsi="Palatino Linotype" w:cs="Times New Roman"/>
          <w:color w:val="010000"/>
          <w:shd w:val="clear" w:color="auto" w:fill="FFFFFF"/>
        </w:rPr>
        <w:t xml:space="preserve"> </w:t>
      </w:r>
      <w:r w:rsidR="005D1E85" w:rsidRPr="000B65FA">
        <w:rPr>
          <w:rFonts w:ascii="Palatino Linotype" w:hAnsi="Palatino Linotype" w:cs="Times New Roman"/>
          <w:color w:val="010000"/>
          <w:highlight w:val="yellow"/>
          <w:shd w:val="clear" w:color="auto" w:fill="FFFFFF"/>
        </w:rPr>
        <w:t>h</w:t>
      </w:r>
      <w:r w:rsidRPr="000B65FA">
        <w:rPr>
          <w:rFonts w:ascii="Palatino Linotype" w:hAnsi="Palatino Linotype" w:cs="Times New Roman"/>
          <w:color w:val="010000"/>
          <w:highlight w:val="yellow"/>
          <w:shd w:val="clear" w:color="auto" w:fill="FFFFFF"/>
        </w:rPr>
        <w:t>akkı</w:t>
      </w:r>
      <w:r w:rsidR="005D1E85" w:rsidRPr="000B65FA">
        <w:rPr>
          <w:rFonts w:ascii="Palatino Linotype" w:hAnsi="Palatino Linotype" w:cs="Times New Roman"/>
          <w:color w:val="010000"/>
          <w:highlight w:val="yellow"/>
          <w:shd w:val="clear" w:color="auto" w:fill="FFFFFF"/>
        </w:rPr>
        <w:t>m</w:t>
      </w:r>
      <w:r w:rsidRPr="000B65FA">
        <w:rPr>
          <w:rFonts w:ascii="Palatino Linotype" w:hAnsi="Palatino Linotype" w:cs="Times New Roman"/>
          <w:color w:val="010000"/>
          <w:highlight w:val="yellow"/>
          <w:shd w:val="clear" w:color="auto" w:fill="FFFFFF"/>
        </w:rPr>
        <w:t>da</w:t>
      </w:r>
      <w:r w:rsidR="000B65FA" w:rsidRPr="000B65FA">
        <w:rPr>
          <w:rFonts w:ascii="Palatino Linotype" w:hAnsi="Palatino Linotype" w:cs="Times New Roman"/>
          <w:color w:val="010000"/>
          <w:highlight w:val="yellow"/>
          <w:shd w:val="clear" w:color="auto" w:fill="FFFFFF"/>
        </w:rPr>
        <w:t>/hakkında</w:t>
      </w:r>
      <w:r w:rsidRPr="002C50F6">
        <w:rPr>
          <w:rFonts w:ascii="Palatino Linotype" w:hAnsi="Palatino Linotype" w:cs="Times New Roman"/>
          <w:color w:val="010000"/>
          <w:shd w:val="clear" w:color="auto" w:fill="FFFFFF"/>
        </w:rPr>
        <w:t xml:space="preserve"> verilmiş mahkumiyet kararının kaldırılarak </w:t>
      </w:r>
      <w:r w:rsidRPr="000B65FA">
        <w:rPr>
          <w:rFonts w:ascii="Palatino Linotype" w:hAnsi="Palatino Linotype" w:cs="Times New Roman"/>
          <w:color w:val="010000"/>
          <w:highlight w:val="yellow"/>
          <w:shd w:val="clear" w:color="auto" w:fill="FFFFFF"/>
        </w:rPr>
        <w:t>beraatı</w:t>
      </w:r>
      <w:r w:rsidR="005D1E85" w:rsidRPr="000B65FA">
        <w:rPr>
          <w:rFonts w:ascii="Palatino Linotype" w:hAnsi="Palatino Linotype" w:cs="Times New Roman"/>
          <w:color w:val="010000"/>
          <w:highlight w:val="yellow"/>
          <w:shd w:val="clear" w:color="auto" w:fill="FFFFFF"/>
        </w:rPr>
        <w:t>m</w:t>
      </w:r>
      <w:r w:rsidRPr="000B65FA">
        <w:rPr>
          <w:rFonts w:ascii="Palatino Linotype" w:hAnsi="Palatino Linotype" w:cs="Times New Roman"/>
          <w:color w:val="010000"/>
          <w:highlight w:val="yellow"/>
          <w:shd w:val="clear" w:color="auto" w:fill="FFFFFF"/>
        </w:rPr>
        <w:t>a</w:t>
      </w:r>
      <w:r w:rsidR="000B65FA" w:rsidRPr="000B65FA">
        <w:rPr>
          <w:rFonts w:ascii="Palatino Linotype" w:hAnsi="Palatino Linotype" w:cs="Times New Roman"/>
          <w:color w:val="010000"/>
          <w:highlight w:val="yellow"/>
          <w:shd w:val="clear" w:color="auto" w:fill="FFFFFF"/>
        </w:rPr>
        <w:t>/beraatına</w:t>
      </w:r>
      <w:r w:rsidRPr="002C50F6">
        <w:rPr>
          <w:rFonts w:ascii="Palatino Linotype" w:hAnsi="Palatino Linotype" w:cs="Times New Roman"/>
          <w:color w:val="010000"/>
          <w:shd w:val="clear" w:color="auto" w:fill="FFFFFF"/>
        </w:rPr>
        <w:t xml:space="preserve"> karar verilmesi,</w:t>
      </w:r>
    </w:p>
    <w:p w14:paraId="0F718449" w14:textId="7A364200" w:rsidR="00CE2F22" w:rsidRPr="002C50F6"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2C50F6">
        <w:rPr>
          <w:rFonts w:ascii="Palatino Linotype" w:hAnsi="Palatino Linotype" w:cs="Times New Roman"/>
          <w:color w:val="010000"/>
          <w:shd w:val="clear" w:color="auto" w:fill="FFFFFF"/>
        </w:rPr>
        <w:t>Saygılarımla arz ve talep olunur.</w:t>
      </w:r>
      <w:r w:rsidR="00AE4031" w:rsidRPr="002C50F6">
        <w:rPr>
          <w:rFonts w:ascii="Palatino Linotype" w:hAnsi="Palatino Linotype" w:cs="Times New Roman"/>
          <w:color w:val="010000"/>
          <w:shd w:val="clear" w:color="auto" w:fill="FFFFFF"/>
        </w:rPr>
        <w:t xml:space="preserve">  </w:t>
      </w:r>
      <w:r w:rsidRPr="002C50F6">
        <w:rPr>
          <w:rFonts w:ascii="Palatino Linotype" w:hAnsi="Palatino Linotype" w:cs="Times New Roman"/>
          <w:color w:val="010000"/>
          <w:shd w:val="clear" w:color="auto" w:fill="FFFFFF"/>
        </w:rPr>
        <w:t>…../…./2023</w:t>
      </w:r>
    </w:p>
    <w:p w14:paraId="5DA01CCA" w14:textId="77777777" w:rsidR="006112FE" w:rsidRPr="002C50F6"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p>
    <w:p w14:paraId="11F41DA9" w14:textId="77777777" w:rsidR="006112FE" w:rsidRPr="002C50F6"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2C50F6">
        <w:rPr>
          <w:rFonts w:ascii="Palatino Linotype" w:hAnsi="Palatino Linotype" w:cs="Times New Roman"/>
          <w:color w:val="010000"/>
          <w:shd w:val="clear" w:color="auto" w:fill="FFFFFF"/>
        </w:rPr>
        <w:tab/>
      </w:r>
      <w:r w:rsidRPr="002C50F6">
        <w:rPr>
          <w:rFonts w:ascii="Palatino Linotype" w:hAnsi="Palatino Linotype" w:cs="Times New Roman"/>
          <w:color w:val="010000"/>
          <w:shd w:val="clear" w:color="auto" w:fill="FFFFFF"/>
        </w:rPr>
        <w:tab/>
      </w:r>
      <w:r w:rsidRPr="002C50F6">
        <w:rPr>
          <w:rFonts w:ascii="Palatino Linotype" w:hAnsi="Palatino Linotype" w:cs="Times New Roman"/>
          <w:color w:val="010000"/>
          <w:shd w:val="clear" w:color="auto" w:fill="FFFFFF"/>
        </w:rPr>
        <w:tab/>
      </w:r>
      <w:r w:rsidRPr="002C50F6">
        <w:rPr>
          <w:rFonts w:ascii="Palatino Linotype" w:hAnsi="Palatino Linotype" w:cs="Times New Roman"/>
          <w:color w:val="010000"/>
          <w:shd w:val="clear" w:color="auto" w:fill="FFFFFF"/>
        </w:rPr>
        <w:tab/>
      </w:r>
      <w:r w:rsidRPr="002C50F6">
        <w:rPr>
          <w:rFonts w:ascii="Palatino Linotype" w:hAnsi="Palatino Linotype" w:cs="Times New Roman"/>
          <w:color w:val="010000"/>
          <w:shd w:val="clear" w:color="auto" w:fill="FFFFFF"/>
        </w:rPr>
        <w:tab/>
      </w:r>
      <w:r w:rsidRPr="002C50F6">
        <w:rPr>
          <w:rFonts w:ascii="Palatino Linotype" w:hAnsi="Palatino Linotype" w:cs="Times New Roman"/>
          <w:color w:val="010000"/>
          <w:shd w:val="clear" w:color="auto" w:fill="FFFFFF"/>
        </w:rPr>
        <w:tab/>
      </w:r>
    </w:p>
    <w:p w14:paraId="7B23423B" w14:textId="2B87C347" w:rsidR="006112FE" w:rsidRPr="002C50F6"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2C50F6">
        <w:rPr>
          <w:rFonts w:ascii="Palatino Linotype" w:hAnsi="Palatino Linotype" w:cs="Times New Roman"/>
          <w:color w:val="010000"/>
          <w:shd w:val="clear" w:color="auto" w:fill="FFFFFF"/>
        </w:rPr>
        <w:tab/>
      </w:r>
      <w:r w:rsidRPr="002C50F6">
        <w:rPr>
          <w:rFonts w:ascii="Palatino Linotype" w:hAnsi="Palatino Linotype" w:cs="Times New Roman"/>
          <w:color w:val="010000"/>
          <w:shd w:val="clear" w:color="auto" w:fill="FFFFFF"/>
        </w:rPr>
        <w:tab/>
      </w:r>
      <w:r w:rsidRPr="002C50F6">
        <w:rPr>
          <w:rFonts w:ascii="Palatino Linotype" w:hAnsi="Palatino Linotype" w:cs="Times New Roman"/>
          <w:color w:val="010000"/>
          <w:shd w:val="clear" w:color="auto" w:fill="FFFFFF"/>
        </w:rPr>
        <w:tab/>
      </w:r>
      <w:r w:rsidRPr="000B65FA">
        <w:rPr>
          <w:rFonts w:ascii="Palatino Linotype" w:hAnsi="Palatino Linotype" w:cs="Times New Roman"/>
          <w:color w:val="010000"/>
          <w:highlight w:val="yellow"/>
          <w:shd w:val="clear" w:color="auto" w:fill="FFFFFF"/>
        </w:rPr>
        <w:t>Hükümlü</w:t>
      </w:r>
      <w:r w:rsidR="000B65FA" w:rsidRPr="000B65FA">
        <w:rPr>
          <w:rFonts w:ascii="Palatino Linotype" w:hAnsi="Palatino Linotype" w:cs="Times New Roman"/>
          <w:color w:val="010000"/>
          <w:highlight w:val="yellow"/>
          <w:shd w:val="clear" w:color="auto" w:fill="FFFFFF"/>
        </w:rPr>
        <w:t>/Eşi/…..Vasisi</w:t>
      </w:r>
      <w:r w:rsidR="005D1E85" w:rsidRPr="000B65FA">
        <w:rPr>
          <w:rFonts w:ascii="Palatino Linotype" w:hAnsi="Palatino Linotype" w:cs="Times New Roman"/>
          <w:color w:val="010000"/>
          <w:highlight w:val="yellow"/>
          <w:shd w:val="clear" w:color="auto" w:fill="FFFFFF"/>
        </w:rPr>
        <w:t xml:space="preserve"> (Ad-</w:t>
      </w:r>
      <w:proofErr w:type="spellStart"/>
      <w:r w:rsidR="005D1E85" w:rsidRPr="000B65FA">
        <w:rPr>
          <w:rFonts w:ascii="Palatino Linotype" w:hAnsi="Palatino Linotype" w:cs="Times New Roman"/>
          <w:color w:val="010000"/>
          <w:highlight w:val="yellow"/>
          <w:shd w:val="clear" w:color="auto" w:fill="FFFFFF"/>
        </w:rPr>
        <w:t>soyad</w:t>
      </w:r>
      <w:proofErr w:type="spellEnd"/>
      <w:r w:rsidR="005D1E85" w:rsidRPr="000B65FA">
        <w:rPr>
          <w:rFonts w:ascii="Palatino Linotype" w:hAnsi="Palatino Linotype" w:cs="Times New Roman"/>
          <w:color w:val="010000"/>
          <w:highlight w:val="yellow"/>
          <w:shd w:val="clear" w:color="auto" w:fill="FFFFFF"/>
        </w:rPr>
        <w:t>/İmza)</w:t>
      </w:r>
    </w:p>
    <w:p w14:paraId="4099EA83" w14:textId="7E0F2359" w:rsidR="006112FE" w:rsidRPr="002C50F6" w:rsidRDefault="006112FE" w:rsidP="006112FE">
      <w:pPr>
        <w:pStyle w:val="ListeParagraf"/>
        <w:tabs>
          <w:tab w:val="left" w:pos="3870"/>
        </w:tabs>
        <w:spacing w:line="360" w:lineRule="auto"/>
        <w:ind w:left="630" w:right="-378"/>
        <w:jc w:val="both"/>
        <w:rPr>
          <w:rFonts w:ascii="Palatino Linotype" w:hAnsi="Palatino Linotype" w:cs="Times New Roman"/>
          <w:color w:val="010000"/>
          <w:shd w:val="clear" w:color="auto" w:fill="FFFFFF"/>
        </w:rPr>
      </w:pPr>
      <w:r w:rsidRPr="002C50F6">
        <w:rPr>
          <w:rFonts w:ascii="Palatino Linotype" w:hAnsi="Palatino Linotype" w:cs="Times New Roman"/>
          <w:color w:val="010000"/>
          <w:shd w:val="clear" w:color="auto" w:fill="FFFFFF"/>
        </w:rPr>
        <w:tab/>
      </w:r>
    </w:p>
    <w:p w14:paraId="7F546AB3" w14:textId="77777777" w:rsidR="006112FE" w:rsidRPr="002C50F6" w:rsidRDefault="006112FE"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72DC683B" w14:textId="77777777" w:rsidR="004063DF" w:rsidRPr="002C50F6" w:rsidRDefault="004063DF" w:rsidP="006112FE">
      <w:pPr>
        <w:pStyle w:val="ListeParagraf"/>
        <w:tabs>
          <w:tab w:val="left" w:pos="3870"/>
        </w:tabs>
        <w:spacing w:line="360" w:lineRule="auto"/>
        <w:ind w:left="630" w:right="-378"/>
        <w:jc w:val="both"/>
        <w:rPr>
          <w:rFonts w:ascii="Palatino Linotype" w:hAnsi="Palatino Linotype" w:cs="Times New Roman"/>
          <w:b/>
          <w:color w:val="010000"/>
          <w:u w:val="thick"/>
          <w:shd w:val="clear" w:color="auto" w:fill="FFFFFF"/>
        </w:rPr>
      </w:pPr>
    </w:p>
    <w:p w14:paraId="46D5F4D9" w14:textId="41688CDC" w:rsidR="000B65FA" w:rsidRDefault="004063DF" w:rsidP="006112FE">
      <w:pPr>
        <w:pStyle w:val="ListeParagraf"/>
        <w:tabs>
          <w:tab w:val="left" w:pos="3870"/>
        </w:tabs>
        <w:spacing w:line="360" w:lineRule="auto"/>
        <w:ind w:left="630" w:right="-378"/>
        <w:jc w:val="both"/>
        <w:rPr>
          <w:rFonts w:ascii="Palatino Linotype" w:hAnsi="Palatino Linotype" w:cs="Times New Roman"/>
          <w:bCs/>
          <w:color w:val="010000"/>
          <w:shd w:val="clear" w:color="auto" w:fill="FFFFFF"/>
        </w:rPr>
      </w:pPr>
      <w:r w:rsidRPr="002C50F6">
        <w:rPr>
          <w:rFonts w:ascii="Palatino Linotype" w:hAnsi="Palatino Linotype" w:cs="Times New Roman"/>
          <w:b/>
          <w:color w:val="010000"/>
          <w:u w:val="thick"/>
          <w:shd w:val="clear" w:color="auto" w:fill="FFFFFF"/>
        </w:rPr>
        <w:t>EK</w:t>
      </w:r>
      <w:r w:rsidR="000B65FA">
        <w:rPr>
          <w:rFonts w:ascii="Palatino Linotype" w:hAnsi="Palatino Linotype" w:cs="Times New Roman"/>
          <w:b/>
          <w:color w:val="010000"/>
          <w:u w:val="thick"/>
          <w:shd w:val="clear" w:color="auto" w:fill="FFFFFF"/>
        </w:rPr>
        <w:t>’LER</w:t>
      </w:r>
      <w:r w:rsidRPr="002C50F6">
        <w:rPr>
          <w:rFonts w:ascii="Palatino Linotype" w:hAnsi="Palatino Linotype" w:cs="Times New Roman"/>
          <w:b/>
          <w:color w:val="010000"/>
          <w:u w:val="thick"/>
          <w:shd w:val="clear" w:color="auto" w:fill="FFFFFF"/>
        </w:rPr>
        <w:t>:</w:t>
      </w:r>
      <w:r w:rsidRPr="002C50F6">
        <w:rPr>
          <w:rFonts w:ascii="Palatino Linotype" w:hAnsi="Palatino Linotype" w:cs="Times New Roman"/>
          <w:bCs/>
          <w:color w:val="010000"/>
          <w:shd w:val="clear" w:color="auto" w:fill="FFFFFF"/>
        </w:rPr>
        <w:t xml:space="preserve"> </w:t>
      </w:r>
    </w:p>
    <w:p w14:paraId="44BFC757" w14:textId="0DA2463C" w:rsidR="000B65FA" w:rsidRPr="000B65FA" w:rsidRDefault="000B65FA" w:rsidP="000B65FA">
      <w:pPr>
        <w:pStyle w:val="NormalWeb"/>
        <w:numPr>
          <w:ilvl w:val="0"/>
          <w:numId w:val="5"/>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Nüfus Aile Kay</w:t>
      </w:r>
      <w:r>
        <w:rPr>
          <w:rFonts w:ascii="Palatino Linotype" w:hAnsi="Palatino Linotype"/>
          <w:color w:val="000000"/>
        </w:rPr>
        <w:t>ıt Örneği</w:t>
      </w:r>
      <w:r w:rsidRPr="000B65FA">
        <w:rPr>
          <w:rFonts w:ascii="Palatino Linotype" w:hAnsi="Palatino Linotype"/>
          <w:color w:val="000000"/>
        </w:rPr>
        <w:t>, </w:t>
      </w:r>
    </w:p>
    <w:p w14:paraId="0C4F20F6" w14:textId="77777777" w:rsidR="000B65FA" w:rsidRPr="000B65FA" w:rsidRDefault="000B65FA" w:rsidP="000B65FA">
      <w:pPr>
        <w:pStyle w:val="NormalWeb"/>
        <w:numPr>
          <w:ilvl w:val="0"/>
          <w:numId w:val="5"/>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T.C. Kimlik Fotokopisi,</w:t>
      </w:r>
    </w:p>
    <w:p w14:paraId="12B6CACB" w14:textId="77777777" w:rsidR="000B65FA" w:rsidRPr="000B65FA" w:rsidRDefault="000B65FA" w:rsidP="000B65FA">
      <w:pPr>
        <w:pStyle w:val="NormalWeb"/>
        <w:numPr>
          <w:ilvl w:val="0"/>
          <w:numId w:val="5"/>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00000"/>
        </w:rPr>
        <w:t>….Sulh Hukuk Mahkemesi’nin …tarih, … E., … K. sayılı vasi tayini kararı</w:t>
      </w:r>
    </w:p>
    <w:p w14:paraId="1ED84728" w14:textId="4D78147C" w:rsidR="004063DF" w:rsidRPr="000B65FA" w:rsidRDefault="004063DF" w:rsidP="000B65FA">
      <w:pPr>
        <w:pStyle w:val="NormalWeb"/>
        <w:numPr>
          <w:ilvl w:val="0"/>
          <w:numId w:val="5"/>
        </w:numPr>
        <w:spacing w:before="0" w:beforeAutospacing="0" w:after="0" w:afterAutospacing="0"/>
        <w:ind w:left="360" w:firstLine="349"/>
        <w:jc w:val="both"/>
        <w:textAlignment w:val="baseline"/>
        <w:rPr>
          <w:rFonts w:ascii="Palatino Linotype" w:hAnsi="Palatino Linotype"/>
          <w:color w:val="000000"/>
        </w:rPr>
      </w:pPr>
      <w:r w:rsidRPr="000B65FA">
        <w:rPr>
          <w:rFonts w:ascii="Palatino Linotype" w:hAnsi="Palatino Linotype"/>
          <w:color w:val="010000"/>
          <w:shd w:val="clear" w:color="auto" w:fill="FFFFFF"/>
        </w:rPr>
        <w:t>AİHM Yüksel Yalçınkaya / Türkiye Kararı Özeti</w:t>
      </w:r>
    </w:p>
    <w:p w14:paraId="4480B7F2" w14:textId="77777777" w:rsidR="000B65FA" w:rsidRDefault="000B65FA" w:rsidP="000B65FA">
      <w:pPr>
        <w:pStyle w:val="NormalWeb"/>
        <w:spacing w:before="0" w:beforeAutospacing="0" w:after="0" w:afterAutospacing="0"/>
        <w:jc w:val="both"/>
        <w:textAlignment w:val="baseline"/>
        <w:rPr>
          <w:rFonts w:ascii="Palatino Linotype" w:hAnsi="Palatino Linotype"/>
          <w:color w:val="010000"/>
          <w:shd w:val="clear" w:color="auto" w:fill="FFFFFF"/>
        </w:rPr>
      </w:pPr>
    </w:p>
    <w:p w14:paraId="33FFE953" w14:textId="03F872FD" w:rsidR="000B65FA" w:rsidRDefault="000B65FA" w:rsidP="000B65FA">
      <w:pPr>
        <w:pStyle w:val="NormalWeb"/>
        <w:spacing w:before="0" w:beforeAutospacing="0" w:after="0" w:afterAutospacing="0"/>
        <w:ind w:firstLine="708"/>
        <w:jc w:val="both"/>
        <w:textAlignment w:val="baseline"/>
        <w:rPr>
          <w:rFonts w:ascii="Palatino Linotype" w:hAnsi="Palatino Linotype"/>
          <w:color w:val="010000"/>
          <w:shd w:val="clear" w:color="auto" w:fill="FFFFFF"/>
        </w:rPr>
      </w:pPr>
      <w:r w:rsidRPr="000B65FA">
        <w:rPr>
          <w:rFonts w:ascii="Palatino Linotype" w:hAnsi="Palatino Linotype"/>
          <w:b/>
          <w:bCs/>
          <w:color w:val="010000"/>
          <w:shd w:val="clear" w:color="auto" w:fill="FFFFFF"/>
        </w:rPr>
        <w:t>Dikkat:</w:t>
      </w:r>
      <w:r>
        <w:rPr>
          <w:rFonts w:ascii="Palatino Linotype" w:hAnsi="Palatino Linotype"/>
          <w:color w:val="010000"/>
          <w:shd w:val="clear" w:color="auto" w:fill="FFFFFF"/>
        </w:rPr>
        <w:t xml:space="preserve"> </w:t>
      </w:r>
      <w:r w:rsidRPr="000B65FA">
        <w:rPr>
          <w:rFonts w:ascii="Palatino Linotype" w:hAnsi="Palatino Linotype"/>
          <w:color w:val="010000"/>
          <w:highlight w:val="yellow"/>
          <w:shd w:val="clear" w:color="auto" w:fill="FFFFFF"/>
        </w:rPr>
        <w:t>Vasilerin 2 ve 3 numaralı, eşlerin de 1 ve 2 numaralı belgeleri eklemeleri, başvuru yapan herkesin 4 numaralı karar özetini de eklemesi gerekir.</w:t>
      </w:r>
    </w:p>
    <w:p w14:paraId="42B539CA" w14:textId="6D5FFD7E" w:rsidR="000B65FA" w:rsidRPr="000B65FA" w:rsidRDefault="000B65FA" w:rsidP="000B65FA">
      <w:pPr>
        <w:pStyle w:val="NormalWeb"/>
        <w:spacing w:before="0" w:beforeAutospacing="0" w:after="0" w:afterAutospacing="0"/>
        <w:ind w:left="708"/>
        <w:jc w:val="both"/>
        <w:textAlignment w:val="baseline"/>
        <w:rPr>
          <w:rFonts w:ascii="Palatino Linotype" w:hAnsi="Palatino Linotype"/>
          <w:color w:val="000000"/>
        </w:rPr>
      </w:pPr>
    </w:p>
    <w:sectPr w:rsidR="000B65FA" w:rsidRPr="000B6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CF3"/>
    <w:multiLevelType w:val="hybridMultilevel"/>
    <w:tmpl w:val="8F82178E"/>
    <w:lvl w:ilvl="0" w:tplc="2452A482">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 w15:restartNumberingAfterBreak="0">
    <w:nsid w:val="2DA9589C"/>
    <w:multiLevelType w:val="multilevel"/>
    <w:tmpl w:val="F87A1F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D6782"/>
    <w:multiLevelType w:val="hybridMultilevel"/>
    <w:tmpl w:val="D3BC9120"/>
    <w:lvl w:ilvl="0" w:tplc="EBA47760">
      <w:start w:val="1"/>
      <w:numFmt w:val="decimal"/>
      <w:lvlText w:val="%1."/>
      <w:lvlJc w:val="left"/>
      <w:pPr>
        <w:ind w:left="1320" w:hanging="360"/>
      </w:pPr>
      <w:rPr>
        <w:b/>
        <w:bCs w:val="0"/>
        <w:i w:val="0"/>
        <w:iCs/>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3" w15:restartNumberingAfterBreak="0">
    <w:nsid w:val="591B1E3F"/>
    <w:multiLevelType w:val="hybridMultilevel"/>
    <w:tmpl w:val="D19CE7C8"/>
    <w:lvl w:ilvl="0" w:tplc="80C0D848">
      <w:start w:val="1"/>
      <w:numFmt w:val="decimal"/>
      <w:lvlText w:val="%1."/>
      <w:lvlJc w:val="left"/>
      <w:pPr>
        <w:ind w:left="720" w:hanging="360"/>
      </w:pPr>
      <w:rPr>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F20649"/>
    <w:multiLevelType w:val="hybridMultilevel"/>
    <w:tmpl w:val="1F1CE538"/>
    <w:lvl w:ilvl="0" w:tplc="0409000D">
      <w:start w:val="1"/>
      <w:numFmt w:val="bullet"/>
      <w:lvlText w:val=""/>
      <w:lvlJc w:val="left"/>
      <w:pPr>
        <w:ind w:left="1320" w:hanging="360"/>
      </w:pPr>
      <w:rPr>
        <w:rFonts w:ascii="Wingdings" w:hAnsi="Wingdings" w:hint="default"/>
        <w:b/>
        <w:bCs w:val="0"/>
        <w:i w:val="0"/>
        <w:iCs/>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num w:numId="1" w16cid:durableId="26836314">
    <w:abstractNumId w:val="3"/>
  </w:num>
  <w:num w:numId="2" w16cid:durableId="351878185">
    <w:abstractNumId w:val="2"/>
  </w:num>
  <w:num w:numId="3" w16cid:durableId="1557542335">
    <w:abstractNumId w:val="4"/>
  </w:num>
  <w:num w:numId="4" w16cid:durableId="201139419">
    <w:abstractNumId w:val="0"/>
  </w:num>
  <w:num w:numId="5" w16cid:durableId="41335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FB"/>
    <w:rsid w:val="0000402A"/>
    <w:rsid w:val="00013B6E"/>
    <w:rsid w:val="00055D06"/>
    <w:rsid w:val="00060B5D"/>
    <w:rsid w:val="0006254E"/>
    <w:rsid w:val="000B65FA"/>
    <w:rsid w:val="000D0E5C"/>
    <w:rsid w:val="00103BDA"/>
    <w:rsid w:val="0014471D"/>
    <w:rsid w:val="00196279"/>
    <w:rsid w:val="00225111"/>
    <w:rsid w:val="00261695"/>
    <w:rsid w:val="00265EA3"/>
    <w:rsid w:val="00291AC1"/>
    <w:rsid w:val="002C50F6"/>
    <w:rsid w:val="0037126F"/>
    <w:rsid w:val="003943FE"/>
    <w:rsid w:val="003A6719"/>
    <w:rsid w:val="003E17B1"/>
    <w:rsid w:val="004063DF"/>
    <w:rsid w:val="0041095E"/>
    <w:rsid w:val="00454D63"/>
    <w:rsid w:val="0049707F"/>
    <w:rsid w:val="004A1B60"/>
    <w:rsid w:val="004E10A2"/>
    <w:rsid w:val="0059049D"/>
    <w:rsid w:val="005B4E3A"/>
    <w:rsid w:val="005D1E85"/>
    <w:rsid w:val="006112FE"/>
    <w:rsid w:val="006B71ED"/>
    <w:rsid w:val="006D22DA"/>
    <w:rsid w:val="0070131E"/>
    <w:rsid w:val="007018E6"/>
    <w:rsid w:val="00720D6B"/>
    <w:rsid w:val="007228F7"/>
    <w:rsid w:val="00741EAE"/>
    <w:rsid w:val="00745D10"/>
    <w:rsid w:val="00762D0A"/>
    <w:rsid w:val="007A42D5"/>
    <w:rsid w:val="007C7CD2"/>
    <w:rsid w:val="00854D9B"/>
    <w:rsid w:val="00865AE8"/>
    <w:rsid w:val="00875E34"/>
    <w:rsid w:val="008A5BF2"/>
    <w:rsid w:val="008B6FFF"/>
    <w:rsid w:val="008C15EA"/>
    <w:rsid w:val="008D5592"/>
    <w:rsid w:val="00940007"/>
    <w:rsid w:val="009437AD"/>
    <w:rsid w:val="00960E79"/>
    <w:rsid w:val="0096567D"/>
    <w:rsid w:val="0099678B"/>
    <w:rsid w:val="009C3F9F"/>
    <w:rsid w:val="009F0893"/>
    <w:rsid w:val="00A024B5"/>
    <w:rsid w:val="00A03E39"/>
    <w:rsid w:val="00A155C9"/>
    <w:rsid w:val="00A32596"/>
    <w:rsid w:val="00A5622E"/>
    <w:rsid w:val="00AB0224"/>
    <w:rsid w:val="00AC5724"/>
    <w:rsid w:val="00AE4031"/>
    <w:rsid w:val="00AE4292"/>
    <w:rsid w:val="00AE4F87"/>
    <w:rsid w:val="00AE78E5"/>
    <w:rsid w:val="00B64CC8"/>
    <w:rsid w:val="00B76022"/>
    <w:rsid w:val="00BA5188"/>
    <w:rsid w:val="00BE0158"/>
    <w:rsid w:val="00C112DC"/>
    <w:rsid w:val="00C61BA4"/>
    <w:rsid w:val="00C70A1B"/>
    <w:rsid w:val="00C7633D"/>
    <w:rsid w:val="00CA18D9"/>
    <w:rsid w:val="00CC34E0"/>
    <w:rsid w:val="00CD76E1"/>
    <w:rsid w:val="00CE2F22"/>
    <w:rsid w:val="00D4338F"/>
    <w:rsid w:val="00D545E8"/>
    <w:rsid w:val="00D97B5F"/>
    <w:rsid w:val="00DA3607"/>
    <w:rsid w:val="00DB4AFB"/>
    <w:rsid w:val="00DB6220"/>
    <w:rsid w:val="00DD4EB8"/>
    <w:rsid w:val="00E236ED"/>
    <w:rsid w:val="00E40DC4"/>
    <w:rsid w:val="00E62FD3"/>
    <w:rsid w:val="00E83C07"/>
    <w:rsid w:val="00EC7A30"/>
    <w:rsid w:val="00EF1192"/>
    <w:rsid w:val="00F3397C"/>
    <w:rsid w:val="00F83122"/>
    <w:rsid w:val="00FD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E03C"/>
  <w15:chartTrackingRefBased/>
  <w15:docId w15:val="{55FC308F-69AB-4101-B181-4995C08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707F"/>
    <w:rPr>
      <w:color w:val="0563C1" w:themeColor="hyperlink"/>
      <w:u w:val="single"/>
    </w:rPr>
  </w:style>
  <w:style w:type="paragraph" w:styleId="ListeParagraf">
    <w:name w:val="List Paragraph"/>
    <w:basedOn w:val="Normal"/>
    <w:uiPriority w:val="34"/>
    <w:qFormat/>
    <w:rsid w:val="00225111"/>
    <w:pPr>
      <w:ind w:left="720"/>
      <w:contextualSpacing/>
    </w:pPr>
  </w:style>
  <w:style w:type="paragraph" w:styleId="NormalWeb">
    <w:name w:val="Normal (Web)"/>
    <w:basedOn w:val="Normal"/>
    <w:uiPriority w:val="99"/>
    <w:unhideWhenUsed/>
    <w:rsid w:val="000B65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0B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3527">
      <w:bodyDiv w:val="1"/>
      <w:marLeft w:val="0"/>
      <w:marRight w:val="0"/>
      <w:marTop w:val="0"/>
      <w:marBottom w:val="0"/>
      <w:divBdr>
        <w:top w:val="none" w:sz="0" w:space="0" w:color="auto"/>
        <w:left w:val="none" w:sz="0" w:space="0" w:color="auto"/>
        <w:bottom w:val="none" w:sz="0" w:space="0" w:color="auto"/>
        <w:right w:val="none" w:sz="0" w:space="0" w:color="auto"/>
      </w:divBdr>
    </w:div>
    <w:div w:id="1695613085">
      <w:bodyDiv w:val="1"/>
      <w:marLeft w:val="0"/>
      <w:marRight w:val="0"/>
      <w:marTop w:val="0"/>
      <w:marBottom w:val="0"/>
      <w:divBdr>
        <w:top w:val="none" w:sz="0" w:space="0" w:color="auto"/>
        <w:left w:val="none" w:sz="0" w:space="0" w:color="auto"/>
        <w:bottom w:val="none" w:sz="0" w:space="0" w:color="auto"/>
        <w:right w:val="none" w:sz="0" w:space="0" w:color="auto"/>
      </w:divBdr>
    </w:div>
    <w:div w:id="2115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3963</Words>
  <Characters>22593</Characters>
  <Application>Microsoft Office Word</Application>
  <DocSecurity>0</DocSecurity>
  <Lines>188</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ufuk yesil</cp:lastModifiedBy>
  <cp:revision>4</cp:revision>
  <dcterms:created xsi:type="dcterms:W3CDTF">2023-10-03T13:57:00Z</dcterms:created>
  <dcterms:modified xsi:type="dcterms:W3CDTF">2023-10-18T10:13:00Z</dcterms:modified>
</cp:coreProperties>
</file>