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8793" w14:textId="618CFF7B" w:rsidR="00745D10" w:rsidRDefault="00FC70D0" w:rsidP="00B74D34">
      <w:pPr>
        <w:spacing w:line="360" w:lineRule="auto"/>
        <w:jc w:val="center"/>
        <w:rPr>
          <w:rFonts w:ascii="Palatino Linotype" w:hAnsi="Palatino Linotype" w:cs="Times New Roman"/>
          <w:b/>
        </w:rPr>
      </w:pPr>
      <w:proofErr w:type="gramStart"/>
      <w:r w:rsidRPr="00C47AC0">
        <w:rPr>
          <w:rFonts w:ascii="Palatino Linotype" w:hAnsi="Palatino Linotype" w:cs="Times New Roman"/>
          <w:b/>
          <w:highlight w:val="yellow"/>
        </w:rPr>
        <w:t>….</w:t>
      </w:r>
      <w:proofErr w:type="gramEnd"/>
      <w:r w:rsidR="00CE2F22" w:rsidRPr="00C47AC0">
        <w:rPr>
          <w:rFonts w:ascii="Palatino Linotype" w:hAnsi="Palatino Linotype" w:cs="Times New Roman"/>
          <w:b/>
          <w:highlight w:val="yellow"/>
        </w:rPr>
        <w:t>AĞIR CEZA MAHKEMESİ</w:t>
      </w:r>
      <w:r w:rsidR="00161044" w:rsidRPr="00C47AC0">
        <w:rPr>
          <w:rFonts w:ascii="Palatino Linotype" w:hAnsi="Palatino Linotype" w:cs="Times New Roman"/>
          <w:b/>
          <w:highlight w:val="yellow"/>
        </w:rPr>
        <w:t>NE</w:t>
      </w:r>
    </w:p>
    <w:p w14:paraId="392EACEC" w14:textId="77777777" w:rsidR="00951289" w:rsidRDefault="00951289" w:rsidP="00951289">
      <w:pPr>
        <w:spacing w:line="360" w:lineRule="auto"/>
        <w:rPr>
          <w:rFonts w:ascii="Palatino Linotype" w:hAnsi="Palatino Linotype" w:cs="Times New Roman"/>
          <w:b/>
          <w:highlight w:val="yellow"/>
        </w:rPr>
      </w:pPr>
    </w:p>
    <w:p w14:paraId="0C8E17CC" w14:textId="77777777" w:rsidR="00161044" w:rsidRPr="00C47AC0" w:rsidRDefault="00B76022" w:rsidP="00161044">
      <w:pPr>
        <w:spacing w:line="360" w:lineRule="auto"/>
        <w:jc w:val="center"/>
        <w:rPr>
          <w:rFonts w:ascii="Palatino Linotype" w:hAnsi="Palatino Linotype" w:cs="Times New Roman"/>
          <w:b/>
        </w:rPr>
      </w:pPr>
      <w:r w:rsidRPr="00C47AC0">
        <w:rPr>
          <w:rFonts w:ascii="Palatino Linotype" w:hAnsi="Palatino Linotype" w:cs="Times New Roman"/>
          <w:b/>
        </w:rPr>
        <w:t xml:space="preserve">                                                    </w:t>
      </w:r>
    </w:p>
    <w:p w14:paraId="720F92A6" w14:textId="738692DF" w:rsidR="00B76022" w:rsidRPr="00C47AC0" w:rsidRDefault="00261695" w:rsidP="00161044">
      <w:pPr>
        <w:spacing w:line="360" w:lineRule="auto"/>
        <w:rPr>
          <w:rFonts w:ascii="Palatino Linotype" w:hAnsi="Palatino Linotype" w:cs="Times New Roman"/>
          <w:b/>
        </w:rPr>
      </w:pPr>
      <w:r w:rsidRPr="00C47AC0">
        <w:rPr>
          <w:rFonts w:ascii="Palatino Linotype" w:hAnsi="Palatino Linotype" w:cs="Times New Roman"/>
          <w:b/>
        </w:rPr>
        <w:t xml:space="preserve"> </w:t>
      </w:r>
      <w:r w:rsidR="00B76022" w:rsidRPr="00C47AC0">
        <w:rPr>
          <w:rFonts w:ascii="Palatino Linotype" w:hAnsi="Palatino Linotype" w:cs="Times New Roman"/>
          <w:b/>
          <w:u w:val="thick"/>
        </w:rPr>
        <w:t xml:space="preserve">Dosya </w:t>
      </w:r>
      <w:r w:rsidR="00FE698F">
        <w:rPr>
          <w:rFonts w:ascii="Palatino Linotype" w:hAnsi="Palatino Linotype" w:cs="Times New Roman"/>
          <w:b/>
          <w:u w:val="thick"/>
        </w:rPr>
        <w:t>No</w:t>
      </w:r>
      <w:r w:rsidR="00FE698F">
        <w:rPr>
          <w:rFonts w:ascii="Palatino Linotype" w:hAnsi="Palatino Linotype" w:cs="Times New Roman"/>
          <w:b/>
          <w:u w:val="thick"/>
        </w:rPr>
        <w:tab/>
      </w:r>
      <w:r w:rsidR="00FE698F">
        <w:rPr>
          <w:rFonts w:ascii="Palatino Linotype" w:hAnsi="Palatino Linotype" w:cs="Times New Roman"/>
          <w:b/>
          <w:u w:val="thick"/>
        </w:rPr>
        <w:tab/>
      </w:r>
      <w:r w:rsidR="00FE698F">
        <w:rPr>
          <w:rFonts w:ascii="Palatino Linotype" w:hAnsi="Palatino Linotype" w:cs="Times New Roman"/>
          <w:b/>
          <w:u w:val="thick"/>
        </w:rPr>
        <w:tab/>
      </w:r>
      <w:proofErr w:type="gramStart"/>
      <w:r w:rsidR="00FE698F">
        <w:rPr>
          <w:rFonts w:ascii="Palatino Linotype" w:hAnsi="Palatino Linotype" w:cs="Times New Roman"/>
          <w:b/>
          <w:u w:val="thick"/>
        </w:rPr>
        <w:tab/>
      </w:r>
      <w:r w:rsidR="00B76022" w:rsidRPr="00FE698F">
        <w:rPr>
          <w:rFonts w:ascii="Palatino Linotype" w:hAnsi="Palatino Linotype" w:cs="Times New Roman"/>
          <w:b/>
          <w:highlight w:val="yellow"/>
          <w:u w:val="single"/>
        </w:rPr>
        <w:t>:</w:t>
      </w:r>
      <w:r w:rsidR="00FE698F" w:rsidRPr="00FE698F">
        <w:rPr>
          <w:rFonts w:ascii="Palatino Linotype" w:hAnsi="Palatino Linotype" w:cs="Times New Roman"/>
          <w:b/>
          <w:highlight w:val="yellow"/>
          <w:u w:val="single"/>
        </w:rPr>
        <w:t>..</w:t>
      </w:r>
      <w:proofErr w:type="gramEnd"/>
      <w:r w:rsidR="00B76022" w:rsidRPr="00FE698F">
        <w:rPr>
          <w:rFonts w:ascii="Palatino Linotype" w:hAnsi="Palatino Linotype" w:cs="Times New Roman"/>
          <w:b/>
          <w:highlight w:val="yellow"/>
        </w:rPr>
        <w:t>/</w:t>
      </w:r>
      <w:r w:rsidR="00FE698F" w:rsidRPr="00FE698F">
        <w:rPr>
          <w:rFonts w:ascii="Palatino Linotype" w:hAnsi="Palatino Linotype" w:cs="Times New Roman"/>
          <w:b/>
          <w:highlight w:val="yellow"/>
        </w:rPr>
        <w:t>…</w:t>
      </w:r>
      <w:r w:rsidR="00B76022" w:rsidRPr="00FE698F">
        <w:rPr>
          <w:rFonts w:ascii="Palatino Linotype" w:hAnsi="Palatino Linotype" w:cs="Times New Roman"/>
          <w:b/>
          <w:highlight w:val="yellow"/>
        </w:rPr>
        <w:t>E</w:t>
      </w:r>
      <w:r w:rsidR="00FE698F" w:rsidRPr="00FE698F">
        <w:rPr>
          <w:rFonts w:ascii="Palatino Linotype" w:hAnsi="Palatino Linotype" w:cs="Times New Roman"/>
          <w:b/>
          <w:highlight w:val="yellow"/>
        </w:rPr>
        <w:t>sas</w:t>
      </w:r>
    </w:p>
    <w:p w14:paraId="54C1D8F6" w14:textId="311BFCE1" w:rsidR="00B76022" w:rsidRPr="00C47AC0" w:rsidRDefault="00854D9B" w:rsidP="00261695">
      <w:pPr>
        <w:tabs>
          <w:tab w:val="left" w:pos="3870"/>
        </w:tabs>
        <w:spacing w:line="360" w:lineRule="auto"/>
        <w:jc w:val="both"/>
        <w:rPr>
          <w:rFonts w:ascii="Palatino Linotype" w:hAnsi="Palatino Linotype" w:cs="Times New Roman"/>
          <w:b/>
          <w:u w:val="thick"/>
        </w:rPr>
      </w:pPr>
      <w:r w:rsidRPr="00C47AC0">
        <w:rPr>
          <w:rFonts w:ascii="Palatino Linotype" w:hAnsi="Palatino Linotype" w:cs="Times New Roman"/>
          <w:b/>
          <w:u w:val="thick"/>
        </w:rPr>
        <w:t>Talepte Bulunan</w:t>
      </w:r>
      <w:r w:rsidR="00FE698F">
        <w:rPr>
          <w:rFonts w:ascii="Palatino Linotype" w:hAnsi="Palatino Linotype" w:cs="Times New Roman"/>
          <w:b/>
          <w:u w:val="thick"/>
        </w:rPr>
        <w:t xml:space="preserve">                                </w:t>
      </w:r>
      <w:proofErr w:type="gramStart"/>
      <w:r w:rsidR="00FE698F">
        <w:rPr>
          <w:rFonts w:ascii="Palatino Linotype" w:hAnsi="Palatino Linotype" w:cs="Times New Roman"/>
          <w:b/>
          <w:u w:val="thick"/>
        </w:rPr>
        <w:t xml:space="preserve">  :</w:t>
      </w:r>
      <w:proofErr w:type="gramEnd"/>
      <w:r w:rsidRPr="00C47AC0">
        <w:rPr>
          <w:rFonts w:ascii="Palatino Linotype" w:hAnsi="Palatino Linotype" w:cs="Times New Roman"/>
          <w:b/>
          <w:u w:val="thick"/>
        </w:rPr>
        <w:t xml:space="preserve"> </w:t>
      </w:r>
      <w:r w:rsidR="004E02D8" w:rsidRPr="00FE698F">
        <w:rPr>
          <w:rFonts w:ascii="Palatino Linotype" w:hAnsi="Palatino Linotype" w:cs="Times New Roman"/>
          <w:bCs/>
          <w:highlight w:val="yellow"/>
        </w:rPr>
        <w:t>Sanık</w:t>
      </w:r>
      <w:r w:rsidR="006C1FA0" w:rsidRPr="00FE698F">
        <w:rPr>
          <w:rFonts w:ascii="Palatino Linotype" w:hAnsi="Palatino Linotype" w:cs="Times New Roman"/>
          <w:bCs/>
          <w:highlight w:val="yellow"/>
        </w:rPr>
        <w:t>/Eşi</w:t>
      </w:r>
      <w:r w:rsidR="00D97B5F" w:rsidRPr="00FE698F">
        <w:rPr>
          <w:rFonts w:ascii="Palatino Linotype" w:hAnsi="Palatino Linotype" w:cs="Times New Roman"/>
          <w:bCs/>
          <w:highlight w:val="yellow"/>
        </w:rPr>
        <w:t xml:space="preserve"> </w:t>
      </w:r>
      <w:r w:rsidR="00B76022" w:rsidRPr="00FE698F">
        <w:rPr>
          <w:rFonts w:ascii="Palatino Linotype" w:hAnsi="Palatino Linotype" w:cs="Times New Roman"/>
          <w:bCs/>
          <w:highlight w:val="yellow"/>
        </w:rPr>
        <w:t>:</w:t>
      </w:r>
    </w:p>
    <w:p w14:paraId="2BAD3EF1" w14:textId="310F78AB" w:rsidR="00B76022" w:rsidRPr="00C47AC0" w:rsidRDefault="00B76022" w:rsidP="00261695">
      <w:pPr>
        <w:tabs>
          <w:tab w:val="left" w:pos="3870"/>
        </w:tabs>
        <w:spacing w:line="360" w:lineRule="auto"/>
        <w:jc w:val="both"/>
        <w:rPr>
          <w:rFonts w:ascii="Palatino Linotype" w:hAnsi="Palatino Linotype" w:cs="Times New Roman"/>
          <w:b/>
          <w:u w:val="thick"/>
        </w:rPr>
      </w:pPr>
      <w:r w:rsidRPr="00C47AC0">
        <w:rPr>
          <w:rFonts w:ascii="Palatino Linotype" w:hAnsi="Palatino Linotype" w:cs="Times New Roman"/>
          <w:b/>
          <w:u w:val="thick"/>
        </w:rPr>
        <w:t xml:space="preserve">Müdafii                      </w:t>
      </w:r>
      <w:r w:rsidR="00AC5724" w:rsidRPr="00C47AC0">
        <w:rPr>
          <w:rFonts w:ascii="Palatino Linotype" w:hAnsi="Palatino Linotype" w:cs="Times New Roman"/>
          <w:b/>
          <w:u w:val="thick"/>
        </w:rPr>
        <w:t xml:space="preserve">                          </w:t>
      </w:r>
      <w:r w:rsidR="00FE698F">
        <w:rPr>
          <w:rFonts w:ascii="Palatino Linotype" w:hAnsi="Palatino Linotype" w:cs="Times New Roman"/>
          <w:b/>
          <w:u w:val="thick"/>
        </w:rPr>
        <w:tab/>
        <w:t xml:space="preserve">   </w:t>
      </w:r>
      <w:proofErr w:type="gramStart"/>
      <w:r w:rsidR="00AC5724" w:rsidRPr="00C47AC0">
        <w:rPr>
          <w:rFonts w:ascii="Palatino Linotype" w:hAnsi="Palatino Linotype" w:cs="Times New Roman"/>
          <w:b/>
          <w:u w:val="thick"/>
        </w:rPr>
        <w:t xml:space="preserve"> </w:t>
      </w:r>
      <w:r w:rsidR="00261695" w:rsidRPr="00C47AC0">
        <w:rPr>
          <w:rFonts w:ascii="Palatino Linotype" w:hAnsi="Palatino Linotype" w:cs="Times New Roman"/>
          <w:b/>
          <w:u w:val="thick"/>
        </w:rPr>
        <w:t xml:space="preserve"> </w:t>
      </w:r>
      <w:r w:rsidRPr="00C47AC0">
        <w:rPr>
          <w:rFonts w:ascii="Palatino Linotype" w:hAnsi="Palatino Linotype" w:cs="Times New Roman"/>
          <w:b/>
          <w:u w:val="thick"/>
        </w:rPr>
        <w:t>:</w:t>
      </w:r>
      <w:proofErr w:type="gramEnd"/>
    </w:p>
    <w:p w14:paraId="48D626BB" w14:textId="7D9A2D73" w:rsidR="00A03E39" w:rsidRPr="00C47AC0" w:rsidRDefault="00D97B5F" w:rsidP="00261695">
      <w:pPr>
        <w:tabs>
          <w:tab w:val="left" w:pos="3780"/>
        </w:tabs>
        <w:spacing w:line="360" w:lineRule="auto"/>
        <w:ind w:left="3960" w:hanging="3960"/>
        <w:jc w:val="both"/>
        <w:rPr>
          <w:rFonts w:ascii="Palatino Linotype" w:hAnsi="Palatino Linotype" w:cs="Times New Roman"/>
          <w:iCs/>
          <w:lang w:val="tr"/>
        </w:rPr>
      </w:pPr>
      <w:r w:rsidRPr="00C47AC0">
        <w:rPr>
          <w:rFonts w:ascii="Palatino Linotype" w:hAnsi="Palatino Linotype" w:cs="Times New Roman"/>
          <w:b/>
          <w:u w:val="thick"/>
        </w:rPr>
        <w:t>Talep Konusu</w:t>
      </w:r>
      <w:r w:rsidR="00A03E39" w:rsidRPr="00C47AC0">
        <w:rPr>
          <w:rFonts w:ascii="Palatino Linotype" w:hAnsi="Palatino Linotype" w:cs="Times New Roman"/>
          <w:b/>
          <w:u w:val="thick"/>
        </w:rPr>
        <w:t xml:space="preserve">                         </w:t>
      </w:r>
      <w:r w:rsidR="00FE698F">
        <w:rPr>
          <w:rFonts w:ascii="Palatino Linotype" w:hAnsi="Palatino Linotype" w:cs="Times New Roman"/>
          <w:b/>
          <w:u w:val="thick"/>
        </w:rPr>
        <w:t xml:space="preserve">     </w:t>
      </w:r>
      <w:r w:rsidR="00A03E39" w:rsidRPr="00C47AC0">
        <w:rPr>
          <w:rFonts w:ascii="Palatino Linotype" w:hAnsi="Palatino Linotype" w:cs="Times New Roman"/>
          <w:b/>
          <w:u w:val="thick"/>
        </w:rPr>
        <w:t xml:space="preserve"> </w:t>
      </w:r>
      <w:r w:rsidR="00FE698F">
        <w:rPr>
          <w:rFonts w:ascii="Palatino Linotype" w:hAnsi="Palatino Linotype" w:cs="Times New Roman"/>
          <w:b/>
          <w:u w:val="thick"/>
        </w:rPr>
        <w:t xml:space="preserve"> </w:t>
      </w:r>
      <w:proofErr w:type="gramStart"/>
      <w:r w:rsidR="00FE698F">
        <w:rPr>
          <w:rFonts w:ascii="Palatino Linotype" w:hAnsi="Palatino Linotype" w:cs="Times New Roman"/>
          <w:b/>
          <w:u w:val="thick"/>
        </w:rPr>
        <w:t xml:space="preserve"> </w:t>
      </w:r>
      <w:r w:rsidR="00A03E39" w:rsidRPr="00C47AC0">
        <w:rPr>
          <w:rFonts w:ascii="Palatino Linotype" w:hAnsi="Palatino Linotype" w:cs="Times New Roman"/>
          <w:b/>
          <w:u w:val="thick"/>
        </w:rPr>
        <w:t xml:space="preserve"> :</w:t>
      </w:r>
      <w:r w:rsidR="00A03E39" w:rsidRPr="00C47AC0">
        <w:rPr>
          <w:rFonts w:ascii="Palatino Linotype" w:hAnsi="Palatino Linotype" w:cs="Times New Roman"/>
          <w:iCs/>
          <w:lang w:val="tr"/>
        </w:rPr>
        <w:t>AİHM’in</w:t>
      </w:r>
      <w:proofErr w:type="gramEnd"/>
      <w:r w:rsidR="00A03E39" w:rsidRPr="00C47AC0">
        <w:rPr>
          <w:rFonts w:ascii="Palatino Linotype" w:hAnsi="Palatino Linotype" w:cs="Times New Roman"/>
          <w:iCs/>
          <w:lang w:val="tr"/>
        </w:rPr>
        <w:t xml:space="preserve"> Yalçınkaya/Türkiye </w:t>
      </w:r>
      <w:r w:rsidR="00681B83" w:rsidRPr="00C47AC0">
        <w:rPr>
          <w:rFonts w:ascii="Palatino Linotype" w:hAnsi="Palatino Linotype" w:cs="Times New Roman"/>
          <w:iCs/>
          <w:lang w:val="tr"/>
        </w:rPr>
        <w:t>kararına istinaden</w:t>
      </w:r>
      <w:r w:rsidR="00A03E39" w:rsidRPr="00C47AC0">
        <w:rPr>
          <w:rFonts w:ascii="Palatino Linotype" w:hAnsi="Palatino Linotype" w:cs="Times New Roman"/>
          <w:iCs/>
          <w:lang w:val="tr"/>
        </w:rPr>
        <w:t xml:space="preserve">, </w:t>
      </w:r>
      <w:r w:rsidR="004E02D8" w:rsidRPr="00C47AC0">
        <w:rPr>
          <w:rFonts w:ascii="Palatino Linotype" w:hAnsi="Palatino Linotype" w:cs="Times New Roman"/>
          <w:iCs/>
          <w:highlight w:val="yellow"/>
          <w:lang w:val="tr"/>
        </w:rPr>
        <w:t>m</w:t>
      </w:r>
      <w:r w:rsidR="00A03E39" w:rsidRPr="00C47AC0">
        <w:rPr>
          <w:rFonts w:ascii="Palatino Linotype" w:hAnsi="Palatino Linotype" w:cs="Times New Roman"/>
          <w:iCs/>
          <w:highlight w:val="yellow"/>
          <w:lang w:val="tr"/>
        </w:rPr>
        <w:t>ahkemenizin</w:t>
      </w:r>
      <w:r w:rsidR="00A03E39" w:rsidRPr="00C47AC0">
        <w:rPr>
          <w:rFonts w:ascii="Palatino Linotype" w:hAnsi="Palatino Linotype" w:cs="Times New Roman"/>
          <w:iCs/>
          <w:lang w:val="tr"/>
        </w:rPr>
        <w:t xml:space="preserve"> …………. </w:t>
      </w:r>
      <w:proofErr w:type="gramStart"/>
      <w:r w:rsidR="00A03E39" w:rsidRPr="00C47AC0">
        <w:rPr>
          <w:rFonts w:ascii="Palatino Linotype" w:hAnsi="Palatino Linotype" w:cs="Times New Roman"/>
          <w:iCs/>
          <w:lang w:val="tr"/>
        </w:rPr>
        <w:t>tarih</w:t>
      </w:r>
      <w:proofErr w:type="gramEnd"/>
      <w:r w:rsidR="00A03E39" w:rsidRPr="00C47AC0">
        <w:rPr>
          <w:rFonts w:ascii="Palatino Linotype" w:hAnsi="Palatino Linotype" w:cs="Times New Roman"/>
          <w:iCs/>
          <w:lang w:val="tr"/>
        </w:rPr>
        <w:t xml:space="preserve"> ve ………. E. …</w:t>
      </w:r>
      <w:proofErr w:type="gramStart"/>
      <w:r w:rsidR="00A03E39" w:rsidRPr="00C47AC0">
        <w:rPr>
          <w:rFonts w:ascii="Palatino Linotype" w:hAnsi="Palatino Linotype" w:cs="Times New Roman"/>
          <w:iCs/>
          <w:lang w:val="tr"/>
        </w:rPr>
        <w:t>…….</w:t>
      </w:r>
      <w:proofErr w:type="gramEnd"/>
      <w:r w:rsidR="00A03E39" w:rsidRPr="00C47AC0">
        <w:rPr>
          <w:rFonts w:ascii="Palatino Linotype" w:hAnsi="Palatino Linotype" w:cs="Times New Roman"/>
          <w:iCs/>
          <w:lang w:val="tr"/>
        </w:rPr>
        <w:t xml:space="preserve">.K.  </w:t>
      </w:r>
      <w:proofErr w:type="gramStart"/>
      <w:r w:rsidR="00A03E39" w:rsidRPr="00C47AC0">
        <w:rPr>
          <w:rFonts w:ascii="Palatino Linotype" w:hAnsi="Palatino Linotype" w:cs="Times New Roman"/>
          <w:iCs/>
          <w:lang w:val="tr"/>
        </w:rPr>
        <w:t>sayılı</w:t>
      </w:r>
      <w:proofErr w:type="gramEnd"/>
      <w:r w:rsidR="00A03E39" w:rsidRPr="00C47AC0">
        <w:rPr>
          <w:rFonts w:ascii="Palatino Linotype" w:hAnsi="Palatino Linotype" w:cs="Times New Roman"/>
          <w:iCs/>
          <w:lang w:val="tr"/>
        </w:rPr>
        <w:t xml:space="preserve"> </w:t>
      </w:r>
      <w:r w:rsidR="00A03E39" w:rsidRPr="006C1FA0">
        <w:rPr>
          <w:rFonts w:ascii="Palatino Linotype" w:hAnsi="Palatino Linotype" w:cs="Times New Roman"/>
          <w:iCs/>
          <w:highlight w:val="yellow"/>
          <w:lang w:val="tr"/>
        </w:rPr>
        <w:t>hakkı</w:t>
      </w:r>
      <w:r w:rsidR="009C6702" w:rsidRPr="006C1FA0">
        <w:rPr>
          <w:rFonts w:ascii="Palatino Linotype" w:hAnsi="Palatino Linotype" w:cs="Times New Roman"/>
          <w:iCs/>
          <w:highlight w:val="yellow"/>
          <w:lang w:val="tr"/>
        </w:rPr>
        <w:t>m</w:t>
      </w:r>
      <w:r w:rsidR="0070131E" w:rsidRPr="006C1FA0">
        <w:rPr>
          <w:rFonts w:ascii="Palatino Linotype" w:hAnsi="Palatino Linotype" w:cs="Times New Roman"/>
          <w:iCs/>
          <w:highlight w:val="yellow"/>
          <w:lang w:val="tr"/>
        </w:rPr>
        <w:t>da</w:t>
      </w:r>
      <w:r w:rsidR="006C1FA0" w:rsidRPr="006C1FA0">
        <w:rPr>
          <w:rFonts w:ascii="Palatino Linotype" w:hAnsi="Palatino Linotype" w:cs="Times New Roman"/>
          <w:iCs/>
          <w:highlight w:val="yellow"/>
          <w:lang w:val="tr"/>
        </w:rPr>
        <w:t>/eşim hakkında</w:t>
      </w:r>
      <w:r w:rsidR="0070131E" w:rsidRPr="00C47AC0">
        <w:rPr>
          <w:rFonts w:ascii="Palatino Linotype" w:hAnsi="Palatino Linotype" w:cs="Times New Roman"/>
          <w:iCs/>
          <w:lang w:val="tr"/>
        </w:rPr>
        <w:t xml:space="preserve"> </w:t>
      </w:r>
      <w:r w:rsidR="004E02D8" w:rsidRPr="00C47AC0">
        <w:rPr>
          <w:rFonts w:ascii="Palatino Linotype" w:hAnsi="Palatino Linotype" w:cs="Times New Roman"/>
          <w:iCs/>
          <w:highlight w:val="yellow"/>
          <w:lang w:val="tr"/>
        </w:rPr>
        <w:t>yürütülen yargılama</w:t>
      </w:r>
      <w:r w:rsidR="00720C35" w:rsidRPr="00C47AC0">
        <w:rPr>
          <w:rFonts w:ascii="Palatino Linotype" w:hAnsi="Palatino Linotype" w:cs="Times New Roman"/>
          <w:iCs/>
          <w:highlight w:val="yellow"/>
          <w:lang w:val="tr"/>
        </w:rPr>
        <w:t>nın</w:t>
      </w:r>
      <w:r w:rsidR="004E02D8" w:rsidRPr="00C47AC0">
        <w:rPr>
          <w:rFonts w:ascii="Palatino Linotype" w:hAnsi="Palatino Linotype" w:cs="Times New Roman"/>
          <w:iCs/>
          <w:lang w:val="tr"/>
        </w:rPr>
        <w:t xml:space="preserve"> </w:t>
      </w:r>
      <w:r w:rsidR="00987EF7" w:rsidRPr="00C47AC0">
        <w:rPr>
          <w:rFonts w:ascii="Palatino Linotype" w:hAnsi="Palatino Linotype" w:cs="Times New Roman"/>
          <w:b/>
          <w:bCs/>
          <w:iCs/>
          <w:lang w:val="tr"/>
        </w:rPr>
        <w:t>Anayasa’nın 90. maddesi</w:t>
      </w:r>
      <w:r w:rsidR="00987EF7" w:rsidRPr="00C47AC0">
        <w:rPr>
          <w:rFonts w:ascii="Palatino Linotype" w:hAnsi="Palatino Linotype" w:cs="Times New Roman"/>
          <w:iCs/>
          <w:lang w:val="tr"/>
        </w:rPr>
        <w:t xml:space="preserve"> ve </w:t>
      </w:r>
      <w:r w:rsidR="00987EF7" w:rsidRPr="00C47AC0">
        <w:rPr>
          <w:rFonts w:ascii="Palatino Linotype" w:hAnsi="Palatino Linotype" w:cs="Times New Roman"/>
          <w:b/>
          <w:bCs/>
          <w:iCs/>
          <w:lang w:val="tr"/>
        </w:rPr>
        <w:t xml:space="preserve">AİHS’nin 46. maddesi </w:t>
      </w:r>
      <w:r w:rsidR="00987EF7" w:rsidRPr="00C47AC0">
        <w:rPr>
          <w:rFonts w:ascii="Palatino Linotype" w:hAnsi="Palatino Linotype" w:cs="Times New Roman"/>
          <w:iCs/>
          <w:lang w:val="tr"/>
        </w:rPr>
        <w:t>dikkate alınarak</w:t>
      </w:r>
      <w:r w:rsidR="00A03E39" w:rsidRPr="00C47AC0">
        <w:rPr>
          <w:rFonts w:ascii="Palatino Linotype" w:hAnsi="Palatino Linotype" w:cs="Times New Roman"/>
          <w:iCs/>
          <w:lang w:val="tr"/>
        </w:rPr>
        <w:t>, suçun unsurları oluşmadığı AİHM kararı ile tespit edildiğinden</w:t>
      </w:r>
      <w:r w:rsidR="009815B6" w:rsidRPr="00C47AC0">
        <w:rPr>
          <w:rFonts w:ascii="Palatino Linotype" w:hAnsi="Palatino Linotype" w:cs="Times New Roman"/>
          <w:iCs/>
          <w:lang w:val="tr"/>
        </w:rPr>
        <w:t>,</w:t>
      </w:r>
      <w:r w:rsidR="00A03E39" w:rsidRPr="00C47AC0">
        <w:rPr>
          <w:rFonts w:ascii="Palatino Linotype" w:hAnsi="Palatino Linotype" w:cs="Times New Roman"/>
          <w:iCs/>
          <w:lang w:val="tr"/>
        </w:rPr>
        <w:t xml:space="preserve"> derhal</w:t>
      </w:r>
      <w:r w:rsidR="00987EF7" w:rsidRPr="00C47AC0">
        <w:rPr>
          <w:rFonts w:ascii="Palatino Linotype" w:hAnsi="Palatino Linotype" w:cs="Times New Roman"/>
          <w:iCs/>
          <w:lang w:val="tr"/>
        </w:rPr>
        <w:t xml:space="preserve"> </w:t>
      </w:r>
      <w:r w:rsidR="00A03E39" w:rsidRPr="00B74D34">
        <w:rPr>
          <w:rFonts w:ascii="Palatino Linotype" w:hAnsi="Palatino Linotype" w:cs="Times New Roman"/>
          <w:iCs/>
          <w:lang w:val="tr"/>
        </w:rPr>
        <w:t>beraat</w:t>
      </w:r>
      <w:r w:rsidR="00B74D34" w:rsidRPr="00B74D34">
        <w:rPr>
          <w:rFonts w:ascii="Palatino Linotype" w:hAnsi="Palatino Linotype" w:cs="Times New Roman"/>
          <w:iCs/>
          <w:lang w:val="tr"/>
        </w:rPr>
        <w:t>ına</w:t>
      </w:r>
      <w:r w:rsidR="009815B6" w:rsidRPr="00C47AC0">
        <w:rPr>
          <w:rFonts w:ascii="Palatino Linotype" w:hAnsi="Palatino Linotype" w:cs="Times New Roman"/>
          <w:iCs/>
          <w:lang w:val="tr"/>
        </w:rPr>
        <w:t xml:space="preserve"> </w:t>
      </w:r>
      <w:r w:rsidR="00A03E39" w:rsidRPr="00C47AC0">
        <w:rPr>
          <w:rFonts w:ascii="Palatino Linotype" w:hAnsi="Palatino Linotype" w:cs="Times New Roman"/>
          <w:iCs/>
          <w:lang w:val="tr"/>
        </w:rPr>
        <w:t xml:space="preserve">karar verilmesi ve </w:t>
      </w:r>
      <w:r w:rsidR="00B74D34">
        <w:rPr>
          <w:rFonts w:ascii="Palatino Linotype" w:hAnsi="Palatino Linotype" w:cs="Times New Roman"/>
          <w:iCs/>
          <w:lang w:val="tr"/>
        </w:rPr>
        <w:t>tahliyesi</w:t>
      </w:r>
      <w:r w:rsidR="00A03E39" w:rsidRPr="00C47AC0">
        <w:rPr>
          <w:rFonts w:ascii="Palatino Linotype" w:hAnsi="Palatino Linotype" w:cs="Times New Roman"/>
          <w:iCs/>
          <w:lang w:val="tr"/>
        </w:rPr>
        <w:t xml:space="preserve"> istemine ilişkindir.</w:t>
      </w:r>
    </w:p>
    <w:p w14:paraId="30547AC5" w14:textId="572B9818" w:rsidR="00B76022" w:rsidRPr="00C47AC0" w:rsidRDefault="00D97B5F" w:rsidP="003A6719">
      <w:pPr>
        <w:tabs>
          <w:tab w:val="left" w:pos="3870"/>
        </w:tabs>
        <w:spacing w:line="360" w:lineRule="auto"/>
        <w:ind w:left="3960" w:hanging="3960"/>
        <w:jc w:val="both"/>
        <w:rPr>
          <w:rFonts w:ascii="Palatino Linotype" w:hAnsi="Palatino Linotype" w:cs="Times New Roman"/>
          <w:b/>
          <w:u w:val="thick"/>
        </w:rPr>
      </w:pPr>
      <w:r w:rsidRPr="00C47AC0">
        <w:rPr>
          <w:rFonts w:ascii="Palatino Linotype" w:hAnsi="Palatino Linotype" w:cs="Times New Roman"/>
          <w:b/>
          <w:u w:val="thick"/>
        </w:rPr>
        <w:t xml:space="preserve">Dayanılan Hukuki Kurallar             </w:t>
      </w:r>
      <w:proofErr w:type="gramStart"/>
      <w:r w:rsidRPr="00C47AC0">
        <w:rPr>
          <w:rFonts w:ascii="Palatino Linotype" w:hAnsi="Palatino Linotype" w:cs="Times New Roman"/>
          <w:b/>
          <w:u w:val="thick"/>
        </w:rPr>
        <w:t xml:space="preserve">  :</w:t>
      </w:r>
      <w:proofErr w:type="gramEnd"/>
      <w:r w:rsidRPr="00C47AC0">
        <w:rPr>
          <w:rFonts w:ascii="Palatino Linotype" w:hAnsi="Palatino Linotype" w:cs="Times New Roman"/>
          <w:bCs/>
        </w:rPr>
        <w:t xml:space="preserve"> </w:t>
      </w:r>
      <w:r w:rsidR="009815B6" w:rsidRPr="00C47AC0">
        <w:rPr>
          <w:rFonts w:ascii="Palatino Linotype" w:hAnsi="Palatino Linotype" w:cs="Times New Roman"/>
          <w:bCs/>
        </w:rPr>
        <w:t xml:space="preserve"> </w:t>
      </w:r>
      <w:r w:rsidR="00926DF6" w:rsidRPr="00C47AC0">
        <w:rPr>
          <w:rFonts w:ascii="Palatino Linotype" w:hAnsi="Palatino Linotype" w:cs="Times New Roman"/>
          <w:bCs/>
        </w:rPr>
        <w:t xml:space="preserve"> </w:t>
      </w:r>
      <w:r w:rsidRPr="00C47AC0">
        <w:rPr>
          <w:rFonts w:ascii="Palatino Linotype" w:hAnsi="Palatino Linotype" w:cs="Times New Roman"/>
          <w:bCs/>
        </w:rPr>
        <w:t>A</w:t>
      </w:r>
      <w:r w:rsidR="00161044" w:rsidRPr="00C47AC0">
        <w:rPr>
          <w:rFonts w:ascii="Palatino Linotype" w:hAnsi="Palatino Linotype" w:cs="Times New Roman"/>
          <w:bCs/>
        </w:rPr>
        <w:t xml:space="preserve">nayasa’nın </w:t>
      </w:r>
      <w:r w:rsidRPr="00C47AC0">
        <w:rPr>
          <w:rFonts w:ascii="Palatino Linotype" w:hAnsi="Palatino Linotype" w:cs="Times New Roman"/>
          <w:bCs/>
        </w:rPr>
        <w:t>90;</w:t>
      </w:r>
      <w:r w:rsidR="006C1FA0">
        <w:rPr>
          <w:rFonts w:ascii="Palatino Linotype" w:hAnsi="Palatino Linotype" w:cs="Times New Roman"/>
          <w:bCs/>
        </w:rPr>
        <w:t xml:space="preserve">, </w:t>
      </w:r>
      <w:r w:rsidR="006C1FA0" w:rsidRPr="006C1FA0">
        <w:rPr>
          <w:rFonts w:ascii="Palatino Linotype" w:hAnsi="Palatino Linotype" w:cs="Times New Roman"/>
          <w:bCs/>
          <w:highlight w:val="yellow"/>
        </w:rPr>
        <w:t>CMK’nın 262//1 (eşler başvuracaksa bu madde yazılmalı, şahsi başvuru yapılacaksa çıkarılmalı)</w:t>
      </w:r>
      <w:r w:rsidRPr="00C47AC0">
        <w:rPr>
          <w:rFonts w:ascii="Palatino Linotype" w:hAnsi="Palatino Linotype" w:cs="Times New Roman"/>
          <w:bCs/>
        </w:rPr>
        <w:t xml:space="preserve"> AİHS’nin 6, 7, </w:t>
      </w:r>
      <w:r w:rsidR="003A6719" w:rsidRPr="00C47AC0">
        <w:rPr>
          <w:rFonts w:ascii="Palatino Linotype" w:hAnsi="Palatino Linotype" w:cs="Times New Roman"/>
          <w:bCs/>
        </w:rPr>
        <w:t xml:space="preserve">11, </w:t>
      </w:r>
      <w:r w:rsidRPr="00C47AC0">
        <w:rPr>
          <w:rFonts w:ascii="Palatino Linotype" w:hAnsi="Palatino Linotype" w:cs="Times New Roman"/>
          <w:bCs/>
        </w:rPr>
        <w:t>46</w:t>
      </w:r>
      <w:r w:rsidR="009F0FBE" w:rsidRPr="00C47AC0">
        <w:rPr>
          <w:rFonts w:ascii="Palatino Linotype" w:hAnsi="Palatino Linotype" w:cs="Times New Roman"/>
          <w:bCs/>
        </w:rPr>
        <w:t xml:space="preserve"> </w:t>
      </w:r>
      <w:r w:rsidR="00926DF6" w:rsidRPr="00C47AC0">
        <w:rPr>
          <w:rFonts w:ascii="Palatino Linotype" w:hAnsi="Palatino Linotype" w:cs="Times New Roman"/>
          <w:bCs/>
        </w:rPr>
        <w:t xml:space="preserve">ve </w:t>
      </w:r>
      <w:r w:rsidR="003A6719" w:rsidRPr="00C47AC0">
        <w:rPr>
          <w:rFonts w:ascii="Palatino Linotype" w:hAnsi="Palatino Linotype" w:cs="Times New Roman"/>
          <w:bCs/>
        </w:rPr>
        <w:t xml:space="preserve">6216 sayılı Kanunun 50. </w:t>
      </w:r>
      <w:r w:rsidR="00681B83" w:rsidRPr="00C47AC0">
        <w:rPr>
          <w:rFonts w:ascii="Palatino Linotype" w:hAnsi="Palatino Linotype" w:cs="Times New Roman"/>
          <w:bCs/>
        </w:rPr>
        <w:t>m</w:t>
      </w:r>
      <w:r w:rsidR="003A6719" w:rsidRPr="00C47AC0">
        <w:rPr>
          <w:rFonts w:ascii="Palatino Linotype" w:hAnsi="Palatino Linotype" w:cs="Times New Roman"/>
          <w:bCs/>
        </w:rPr>
        <w:t>adde</w:t>
      </w:r>
      <w:r w:rsidR="00161044" w:rsidRPr="00C47AC0">
        <w:rPr>
          <w:rFonts w:ascii="Palatino Linotype" w:hAnsi="Palatino Linotype" w:cs="Times New Roman"/>
          <w:bCs/>
        </w:rPr>
        <w:t>leri</w:t>
      </w:r>
      <w:r w:rsidR="00926DF6" w:rsidRPr="00C47AC0">
        <w:rPr>
          <w:rFonts w:ascii="Palatino Linotype" w:hAnsi="Palatino Linotype" w:cs="Times New Roman"/>
          <w:bCs/>
        </w:rPr>
        <w:t>)</w:t>
      </w:r>
      <w:r w:rsidRPr="00C47AC0">
        <w:rPr>
          <w:rFonts w:ascii="Palatino Linotype" w:hAnsi="Palatino Linotype" w:cs="Times New Roman"/>
          <w:bCs/>
        </w:rPr>
        <w:t xml:space="preserve">  </w:t>
      </w:r>
      <w:r w:rsidRPr="00C47AC0">
        <w:rPr>
          <w:rFonts w:ascii="Palatino Linotype" w:hAnsi="Palatino Linotype" w:cs="Times New Roman"/>
          <w:b/>
          <w:u w:val="thick"/>
        </w:rPr>
        <w:t xml:space="preserve">       </w:t>
      </w:r>
      <w:r w:rsidR="00B76022" w:rsidRPr="00C47AC0">
        <w:rPr>
          <w:rFonts w:ascii="Palatino Linotype" w:hAnsi="Palatino Linotype" w:cs="Times New Roman"/>
          <w:b/>
          <w:u w:val="thick"/>
        </w:rPr>
        <w:t xml:space="preserve">                   </w:t>
      </w:r>
      <w:r w:rsidR="00BA5188" w:rsidRPr="00C47AC0">
        <w:rPr>
          <w:rFonts w:ascii="Palatino Linotype" w:hAnsi="Palatino Linotype" w:cs="Times New Roman"/>
          <w:b/>
          <w:u w:val="thick"/>
        </w:rPr>
        <w:t xml:space="preserve">            </w:t>
      </w:r>
      <w:r w:rsidR="007018E6" w:rsidRPr="00C47AC0">
        <w:rPr>
          <w:rFonts w:ascii="Palatino Linotype" w:hAnsi="Palatino Linotype" w:cs="Times New Roman"/>
          <w:b/>
          <w:u w:val="thick"/>
        </w:rPr>
        <w:t xml:space="preserve">             </w:t>
      </w:r>
      <w:r w:rsidR="00BA5188" w:rsidRPr="00C47AC0">
        <w:rPr>
          <w:rFonts w:ascii="Palatino Linotype" w:hAnsi="Palatino Linotype" w:cs="Times New Roman"/>
          <w:b/>
          <w:u w:val="thick"/>
        </w:rPr>
        <w:t xml:space="preserve"> </w:t>
      </w:r>
      <w:r w:rsidR="00B76022" w:rsidRPr="00C47AC0">
        <w:rPr>
          <w:rFonts w:ascii="Palatino Linotype" w:hAnsi="Palatino Linotype" w:cs="Times New Roman"/>
          <w:b/>
          <w:u w:val="thick"/>
        </w:rPr>
        <w:t xml:space="preserve">     </w:t>
      </w:r>
    </w:p>
    <w:p w14:paraId="368261F7" w14:textId="77777777" w:rsidR="003A6719" w:rsidRPr="00C47AC0" w:rsidRDefault="003A6719" w:rsidP="003A6719">
      <w:pPr>
        <w:tabs>
          <w:tab w:val="left" w:pos="3870"/>
        </w:tabs>
        <w:spacing w:line="360" w:lineRule="auto"/>
        <w:jc w:val="center"/>
        <w:rPr>
          <w:rFonts w:ascii="Palatino Linotype" w:hAnsi="Palatino Linotype" w:cs="Times New Roman"/>
          <w:b/>
        </w:rPr>
      </w:pPr>
    </w:p>
    <w:p w14:paraId="65BBC1ED" w14:textId="5F96C7F8" w:rsidR="00261695" w:rsidRPr="00C47AC0" w:rsidRDefault="00261695" w:rsidP="003A6719">
      <w:pPr>
        <w:tabs>
          <w:tab w:val="left" w:pos="3870"/>
        </w:tabs>
        <w:spacing w:line="360" w:lineRule="auto"/>
        <w:jc w:val="center"/>
        <w:rPr>
          <w:rFonts w:ascii="Palatino Linotype" w:hAnsi="Palatino Linotype" w:cs="Times New Roman"/>
          <w:b/>
        </w:rPr>
      </w:pPr>
      <w:r w:rsidRPr="00C47AC0">
        <w:rPr>
          <w:rFonts w:ascii="Palatino Linotype" w:hAnsi="Palatino Linotype" w:cs="Times New Roman"/>
          <w:b/>
        </w:rPr>
        <w:t>AÇIKLAMALAR</w:t>
      </w:r>
    </w:p>
    <w:p w14:paraId="2A9EB87F" w14:textId="6228CC97" w:rsidR="00261695" w:rsidRPr="00C47AC0" w:rsidRDefault="00261695" w:rsidP="00261695">
      <w:pPr>
        <w:tabs>
          <w:tab w:val="left" w:pos="3870"/>
        </w:tabs>
        <w:spacing w:line="360" w:lineRule="auto"/>
        <w:jc w:val="both"/>
        <w:rPr>
          <w:rFonts w:ascii="Palatino Linotype" w:hAnsi="Palatino Linotype" w:cs="Times New Roman"/>
          <w:b/>
        </w:rPr>
      </w:pPr>
      <w:r w:rsidRPr="00C47AC0">
        <w:rPr>
          <w:rFonts w:ascii="Palatino Linotype" w:hAnsi="Palatino Linotype" w:cs="Times New Roman"/>
          <w:b/>
        </w:rPr>
        <w:t xml:space="preserve">I. </w:t>
      </w:r>
      <w:r w:rsidR="009C6702" w:rsidRPr="006C1FA0">
        <w:rPr>
          <w:rFonts w:ascii="Palatino Linotype" w:hAnsi="Palatino Linotype" w:cs="Times New Roman"/>
          <w:b/>
          <w:highlight w:val="yellow"/>
        </w:rPr>
        <w:t>Hakkımdaki</w:t>
      </w:r>
      <w:r w:rsidR="006C1FA0" w:rsidRPr="006C1FA0">
        <w:rPr>
          <w:rFonts w:ascii="Palatino Linotype" w:hAnsi="Palatino Linotype" w:cs="Times New Roman"/>
          <w:b/>
          <w:highlight w:val="yellow"/>
        </w:rPr>
        <w:t>/Eşim Hakkındaki</w:t>
      </w:r>
      <w:r w:rsidR="00865AE8" w:rsidRPr="00C47AC0">
        <w:rPr>
          <w:rFonts w:ascii="Palatino Linotype" w:hAnsi="Palatino Linotype" w:cs="Times New Roman"/>
          <w:b/>
        </w:rPr>
        <w:t xml:space="preserve"> </w:t>
      </w:r>
      <w:r w:rsidR="00161044" w:rsidRPr="00B74D34">
        <w:rPr>
          <w:rFonts w:ascii="Palatino Linotype" w:hAnsi="Palatino Linotype" w:cs="Times New Roman"/>
          <w:b/>
        </w:rPr>
        <w:t>Başvuru</w:t>
      </w:r>
      <w:r w:rsidRPr="00C47AC0">
        <w:rPr>
          <w:rFonts w:ascii="Palatino Linotype" w:hAnsi="Palatino Linotype" w:cs="Times New Roman"/>
          <w:b/>
          <w:i/>
          <w:iCs/>
        </w:rPr>
        <w:t xml:space="preserve"> </w:t>
      </w:r>
      <w:r w:rsidRPr="00C47AC0">
        <w:rPr>
          <w:rFonts w:ascii="Palatino Linotype" w:hAnsi="Palatino Linotype" w:cs="Times New Roman"/>
          <w:b/>
        </w:rPr>
        <w:t>Gerekçe</w:t>
      </w:r>
      <w:r w:rsidR="0070131E" w:rsidRPr="00C47AC0">
        <w:rPr>
          <w:rFonts w:ascii="Palatino Linotype" w:hAnsi="Palatino Linotype" w:cs="Times New Roman"/>
          <w:b/>
        </w:rPr>
        <w:t>si</w:t>
      </w:r>
    </w:p>
    <w:p w14:paraId="0F83FB1B" w14:textId="5D573B34" w:rsidR="003A6719" w:rsidRDefault="00261695" w:rsidP="002309ED">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B74D34">
        <w:rPr>
          <w:rFonts w:ascii="Palatino Linotype" w:hAnsi="Palatino Linotype" w:cs="Times New Roman"/>
          <w:bCs/>
          <w:highlight w:val="yellow"/>
        </w:rPr>
        <w:t>Mahkemenizin</w:t>
      </w:r>
      <w:proofErr w:type="gramStart"/>
      <w:r w:rsidRPr="00B74D34">
        <w:rPr>
          <w:rFonts w:ascii="Palatino Linotype" w:hAnsi="Palatino Linotype" w:cs="Times New Roman"/>
          <w:bCs/>
        </w:rPr>
        <w:t xml:space="preserve"> ….</w:t>
      </w:r>
      <w:proofErr w:type="gramEnd"/>
      <w:r w:rsidRPr="00B74D34">
        <w:rPr>
          <w:rFonts w:ascii="Palatino Linotype" w:hAnsi="Palatino Linotype" w:cs="Times New Roman"/>
          <w:bCs/>
        </w:rPr>
        <w:t xml:space="preserve">E., …. </w:t>
      </w:r>
      <w:proofErr w:type="gramStart"/>
      <w:r w:rsidRPr="00B74D34">
        <w:rPr>
          <w:rFonts w:ascii="Palatino Linotype" w:hAnsi="Palatino Linotype" w:cs="Times New Roman"/>
          <w:bCs/>
        </w:rPr>
        <w:t>sayılı</w:t>
      </w:r>
      <w:proofErr w:type="gramEnd"/>
      <w:r w:rsidRPr="00B74D34">
        <w:rPr>
          <w:rFonts w:ascii="Palatino Linotype" w:hAnsi="Palatino Linotype" w:cs="Times New Roman"/>
          <w:bCs/>
        </w:rPr>
        <w:t xml:space="preserve"> Kararı ile …</w:t>
      </w:r>
      <w:r w:rsidR="00E40DC4" w:rsidRPr="00B74D34">
        <w:rPr>
          <w:rFonts w:ascii="Palatino Linotype" w:hAnsi="Palatino Linotype" w:cs="Times New Roman"/>
          <w:bCs/>
        </w:rPr>
        <w:t>….</w:t>
      </w:r>
      <w:r w:rsidRPr="00B74D34">
        <w:rPr>
          <w:rFonts w:ascii="Palatino Linotype" w:hAnsi="Palatino Linotype" w:cs="Times New Roman"/>
          <w:bCs/>
        </w:rPr>
        <w:t>tarihinde</w:t>
      </w:r>
      <w:r w:rsidR="009C6702" w:rsidRPr="00B74D34">
        <w:rPr>
          <w:rFonts w:ascii="Palatino Linotype" w:hAnsi="Palatino Linotype" w:cs="Times New Roman"/>
          <w:bCs/>
        </w:rPr>
        <w:t xml:space="preserve"> </w:t>
      </w:r>
      <w:r w:rsidR="009C6702" w:rsidRPr="00B74D34">
        <w:rPr>
          <w:rFonts w:ascii="Palatino Linotype" w:hAnsi="Palatino Linotype" w:cs="Times New Roman"/>
          <w:bCs/>
          <w:highlight w:val="yellow"/>
        </w:rPr>
        <w:t>hakkımda</w:t>
      </w:r>
      <w:r w:rsidR="006C1FA0" w:rsidRPr="00B74D34">
        <w:rPr>
          <w:rFonts w:ascii="Palatino Linotype" w:hAnsi="Palatino Linotype" w:cs="Times New Roman"/>
          <w:bCs/>
          <w:highlight w:val="yellow"/>
        </w:rPr>
        <w:t>/eşim hakkında</w:t>
      </w:r>
      <w:r w:rsidRPr="00B74D34">
        <w:rPr>
          <w:rFonts w:ascii="Palatino Linotype" w:hAnsi="Palatino Linotype" w:cs="Times New Roman"/>
          <w:bCs/>
        </w:rPr>
        <w:t xml:space="preserve"> </w:t>
      </w:r>
      <w:r w:rsidR="0070131E" w:rsidRPr="00B74D34">
        <w:rPr>
          <w:rFonts w:ascii="Palatino Linotype" w:hAnsi="Palatino Linotype" w:cs="Times New Roman"/>
          <w:bCs/>
        </w:rPr>
        <w:t>silahlı terör örgütüne üyelik suçlaması ile</w:t>
      </w:r>
      <w:r w:rsidR="00720C35" w:rsidRPr="00B74D34">
        <w:rPr>
          <w:rFonts w:ascii="Palatino Linotype" w:hAnsi="Palatino Linotype" w:cs="Times New Roman"/>
          <w:bCs/>
        </w:rPr>
        <w:t xml:space="preserve"> </w:t>
      </w:r>
      <w:r w:rsidR="003B4A04" w:rsidRPr="00B74D34">
        <w:rPr>
          <w:rFonts w:ascii="Palatino Linotype" w:hAnsi="Palatino Linotype" w:cs="Times New Roman"/>
          <w:bCs/>
        </w:rPr>
        <w:t>dava açıl</w:t>
      </w:r>
      <w:r w:rsidR="009C6702" w:rsidRPr="00B74D34">
        <w:rPr>
          <w:rFonts w:ascii="Palatino Linotype" w:hAnsi="Palatino Linotype" w:cs="Times New Roman"/>
          <w:bCs/>
        </w:rPr>
        <w:t>dı</w:t>
      </w:r>
      <w:r w:rsidR="0070131E" w:rsidRPr="00B74D34">
        <w:rPr>
          <w:rFonts w:ascii="Palatino Linotype" w:hAnsi="Palatino Linotype" w:cs="Times New Roman"/>
          <w:bCs/>
        </w:rPr>
        <w:t>.</w:t>
      </w:r>
      <w:r w:rsidR="009C6702" w:rsidRPr="00B74D34">
        <w:rPr>
          <w:rFonts w:ascii="Palatino Linotype" w:hAnsi="Palatino Linotype" w:cs="Times New Roman"/>
          <w:bCs/>
        </w:rPr>
        <w:t xml:space="preserve"> </w:t>
      </w:r>
      <w:r w:rsidR="009C6702" w:rsidRPr="00B74D34">
        <w:rPr>
          <w:rFonts w:ascii="Palatino Linotype" w:hAnsi="Palatino Linotype" w:cs="Times New Roman"/>
          <w:bCs/>
          <w:highlight w:val="yellow"/>
        </w:rPr>
        <w:t>Hakkımdaki</w:t>
      </w:r>
      <w:r w:rsidR="006C1FA0" w:rsidRPr="00B74D34">
        <w:rPr>
          <w:rFonts w:ascii="Palatino Linotype" w:hAnsi="Palatino Linotype" w:cs="Times New Roman"/>
          <w:bCs/>
          <w:highlight w:val="yellow"/>
        </w:rPr>
        <w:t>/hakkındaki</w:t>
      </w:r>
      <w:r w:rsidR="0070131E" w:rsidRPr="00B74D34">
        <w:rPr>
          <w:rFonts w:ascii="Palatino Linotype" w:hAnsi="Palatino Linotype" w:cs="Times New Roman"/>
          <w:bCs/>
        </w:rPr>
        <w:t xml:space="preserve"> </w:t>
      </w:r>
      <w:r w:rsidR="00B74D34">
        <w:rPr>
          <w:rFonts w:ascii="Palatino Linotype" w:hAnsi="Palatino Linotype" w:cs="Times New Roman"/>
          <w:bCs/>
        </w:rPr>
        <w:t>iddialar</w:t>
      </w:r>
      <w:r w:rsidR="0070131E" w:rsidRPr="00B74D34">
        <w:rPr>
          <w:rFonts w:ascii="Palatino Linotype" w:hAnsi="Palatino Linotype" w:cs="Times New Roman"/>
          <w:bCs/>
        </w:rPr>
        <w:t xml:space="preserve">; </w:t>
      </w:r>
      <w:r w:rsidR="0070131E" w:rsidRPr="00B74D34">
        <w:rPr>
          <w:rFonts w:ascii="Palatino Linotype" w:hAnsi="Palatino Linotype" w:cs="Times New Roman"/>
          <w:bCs/>
          <w:highlight w:val="yellow"/>
        </w:rPr>
        <w:t xml:space="preserve">ByLock uygulamasını indirmek, </w:t>
      </w:r>
      <w:r w:rsidR="00C7633D" w:rsidRPr="00B74D34">
        <w:rPr>
          <w:rFonts w:ascii="Palatino Linotype" w:hAnsi="Palatino Linotype" w:cs="Times New Roman"/>
          <w:bCs/>
          <w:highlight w:val="yellow"/>
        </w:rPr>
        <w:t xml:space="preserve">Bank Asya’da hesap açmak, …derneğine ve …sendikasına üye olmak, …x okulunda okumak, …x gazetesi ve dergisine abone olmak, …x aboneliğini sonlandırmak, … 1dolar bulundurmak, …x derneğine yardım etmek, …x tanığın beyanı ile cemaat sohbetlerine katılmak, çocuğunu …x okulunda okutturmak, örgüte üyelikten </w:t>
      </w:r>
      <w:r w:rsidR="00C7633D" w:rsidRPr="00B74D34">
        <w:rPr>
          <w:rFonts w:ascii="Palatino Linotype" w:hAnsi="Palatino Linotype" w:cs="Times New Roman"/>
          <w:bCs/>
          <w:highlight w:val="yellow"/>
        </w:rPr>
        <w:lastRenderedPageBreak/>
        <w:t xml:space="preserve">hakkında soruşturma açılmış olan </w:t>
      </w:r>
      <w:proofErr w:type="spellStart"/>
      <w:r w:rsidR="00C7633D" w:rsidRPr="00B74D34">
        <w:rPr>
          <w:rFonts w:ascii="Palatino Linotype" w:hAnsi="Palatino Linotype" w:cs="Times New Roman"/>
          <w:bCs/>
          <w:highlight w:val="yellow"/>
        </w:rPr>
        <w:t>xyz</w:t>
      </w:r>
      <w:proofErr w:type="spellEnd"/>
      <w:r w:rsidR="00C7633D" w:rsidRPr="00B74D34">
        <w:rPr>
          <w:rFonts w:ascii="Palatino Linotype" w:hAnsi="Palatino Linotype" w:cs="Times New Roman"/>
          <w:bCs/>
          <w:highlight w:val="yellow"/>
        </w:rPr>
        <w:t xml:space="preserve"> kişiler ile görüşmek</w:t>
      </w:r>
      <w:r w:rsidR="00454D63" w:rsidRPr="00B74D34">
        <w:rPr>
          <w:rFonts w:ascii="Palatino Linotype" w:hAnsi="Palatino Linotype" w:cs="Times New Roman"/>
          <w:bCs/>
          <w:highlight w:val="yellow"/>
        </w:rPr>
        <w:t>, seçimlerde …x partisine veya (HSK ve vb kurum seçimlerinde) x grubuna destek vermek</w:t>
      </w:r>
      <w:r w:rsidR="00A324F6" w:rsidRPr="00B74D34">
        <w:rPr>
          <w:rFonts w:ascii="Palatino Linotype" w:hAnsi="Palatino Linotype" w:cs="Times New Roman"/>
          <w:bCs/>
          <w:highlight w:val="yellow"/>
        </w:rPr>
        <w:t xml:space="preserve">,  x yerde köşe yazısı yazmak, x </w:t>
      </w:r>
      <w:r w:rsidR="003B4A04" w:rsidRPr="00B74D34">
        <w:rPr>
          <w:rFonts w:ascii="Palatino Linotype" w:hAnsi="Palatino Linotype" w:cs="Times New Roman"/>
          <w:bCs/>
          <w:highlight w:val="yellow"/>
        </w:rPr>
        <w:t>TV</w:t>
      </w:r>
      <w:r w:rsidR="00A324F6" w:rsidRPr="00B74D34">
        <w:rPr>
          <w:rFonts w:ascii="Palatino Linotype" w:hAnsi="Palatino Linotype" w:cs="Times New Roman"/>
          <w:bCs/>
          <w:highlight w:val="yellow"/>
        </w:rPr>
        <w:t>’de konuşmak / program yapma</w:t>
      </w:r>
      <w:r w:rsidR="00454D63" w:rsidRPr="00B74D34">
        <w:rPr>
          <w:rFonts w:ascii="Palatino Linotype" w:hAnsi="Palatino Linotype" w:cs="Times New Roman"/>
          <w:bCs/>
          <w:highlight w:val="yellow"/>
        </w:rPr>
        <w:t xml:space="preserve"> (vb)</w:t>
      </w:r>
      <w:r w:rsidR="00454D63" w:rsidRPr="00B74D34">
        <w:rPr>
          <w:rFonts w:ascii="Palatino Linotype" w:hAnsi="Palatino Linotype" w:cs="Times New Roman"/>
          <w:bCs/>
        </w:rPr>
        <w:t xml:space="preserve"> </w:t>
      </w:r>
      <w:r w:rsidR="00454D63" w:rsidRPr="00B74D34">
        <w:rPr>
          <w:rFonts w:ascii="Palatino Linotype" w:hAnsi="Palatino Linotype" w:cs="Times New Roman"/>
          <w:bCs/>
          <w:highlight w:val="yellow"/>
        </w:rPr>
        <w:t>husus</w:t>
      </w:r>
      <w:r w:rsidR="003B4A04" w:rsidRPr="00B74D34">
        <w:rPr>
          <w:rFonts w:ascii="Palatino Linotype" w:hAnsi="Palatino Linotype" w:cs="Times New Roman"/>
          <w:bCs/>
          <w:highlight w:val="yellow"/>
        </w:rPr>
        <w:t>u/hususlarıdır</w:t>
      </w:r>
      <w:r w:rsidR="00454D63" w:rsidRPr="00B74D34">
        <w:rPr>
          <w:rFonts w:ascii="Palatino Linotype" w:hAnsi="Palatino Linotype" w:cs="Times New Roman"/>
          <w:bCs/>
          <w:highlight w:val="yellow"/>
        </w:rPr>
        <w:t>.</w:t>
      </w:r>
      <w:r w:rsidR="00454D63" w:rsidRPr="00B74D34">
        <w:rPr>
          <w:rFonts w:ascii="Palatino Linotype" w:hAnsi="Palatino Linotype" w:cs="Times New Roman"/>
          <w:bCs/>
        </w:rPr>
        <w:t xml:space="preserve"> </w:t>
      </w:r>
    </w:p>
    <w:p w14:paraId="7A83FB80" w14:textId="592961D4" w:rsidR="00FE698F" w:rsidRDefault="00FE698F" w:rsidP="00FE698F">
      <w:pPr>
        <w:pStyle w:val="ListeParagraf"/>
        <w:numPr>
          <w:ilvl w:val="0"/>
          <w:numId w:val="2"/>
        </w:numPr>
        <w:tabs>
          <w:tab w:val="left" w:pos="3870"/>
        </w:tabs>
        <w:spacing w:line="360" w:lineRule="auto"/>
        <w:ind w:left="630" w:right="-378"/>
        <w:jc w:val="both"/>
        <w:rPr>
          <w:rFonts w:ascii="Palatino Linotype" w:hAnsi="Palatino Linotype" w:cs="Times New Roman"/>
          <w:bCs/>
        </w:rPr>
      </w:pPr>
      <w:r>
        <w:rPr>
          <w:rFonts w:ascii="Palatino Linotype" w:hAnsi="Palatino Linotype" w:cs="Times New Roman"/>
          <w:bCs/>
        </w:rPr>
        <w:t>Bu</w:t>
      </w:r>
      <w:r w:rsidRPr="00A1264E">
        <w:rPr>
          <w:rFonts w:ascii="Palatino Linotype" w:hAnsi="Palatino Linotype" w:cs="Times New Roman"/>
          <w:bCs/>
        </w:rPr>
        <w:t xml:space="preserve"> </w:t>
      </w:r>
      <w:proofErr w:type="gramStart"/>
      <w:r w:rsidRPr="00A1264E">
        <w:rPr>
          <w:rFonts w:ascii="Palatino Linotype" w:hAnsi="Palatino Linotype" w:cs="Times New Roman"/>
          <w:bCs/>
        </w:rPr>
        <w:t xml:space="preserve">aşamada  </w:t>
      </w:r>
      <w:r w:rsidRPr="00531354">
        <w:rPr>
          <w:rFonts w:ascii="Palatino Linotype" w:hAnsi="Palatino Linotype" w:cs="Times New Roman"/>
          <w:bCs/>
          <w:highlight w:val="yellow"/>
        </w:rPr>
        <w:t>hakkımda</w:t>
      </w:r>
      <w:proofErr w:type="gramEnd"/>
      <w:r w:rsidRPr="00531354">
        <w:rPr>
          <w:rFonts w:ascii="Palatino Linotype" w:hAnsi="Palatino Linotype" w:cs="Times New Roman"/>
          <w:bCs/>
          <w:highlight w:val="yellow"/>
        </w:rPr>
        <w:t>/eşim hakkında</w:t>
      </w:r>
      <w:r w:rsidRPr="00A1264E">
        <w:rPr>
          <w:rFonts w:ascii="Palatino Linotype" w:hAnsi="Palatino Linotype" w:cs="Times New Roman"/>
          <w:bCs/>
        </w:rPr>
        <w:t xml:space="preserve"> </w:t>
      </w:r>
      <w:r>
        <w:rPr>
          <w:rFonts w:ascii="Palatino Linotype" w:hAnsi="Palatino Linotype" w:cs="Times New Roman"/>
          <w:bCs/>
        </w:rPr>
        <w:t>devam eden yargılamaya</w:t>
      </w:r>
      <w:r w:rsidRPr="00A1264E">
        <w:rPr>
          <w:rFonts w:ascii="Palatino Linotype" w:hAnsi="Palatino Linotype" w:cs="Times New Roman"/>
          <w:bCs/>
        </w:rPr>
        <w:t xml:space="preserve"> gerekçe yapılan deliller de dikkate alındığında benzer nitelikteki bir davada A</w:t>
      </w:r>
      <w:r>
        <w:rPr>
          <w:rFonts w:ascii="Palatino Linotype" w:hAnsi="Palatino Linotype" w:cs="Times New Roman"/>
          <w:bCs/>
        </w:rPr>
        <w:t xml:space="preserve">İHM </w:t>
      </w:r>
      <w:r w:rsidRPr="00A1264E">
        <w:rPr>
          <w:rFonts w:ascii="Palatino Linotype" w:hAnsi="Palatino Linotype" w:cs="Times New Roman"/>
          <w:bCs/>
        </w:rPr>
        <w:t>Büyük Dairesi tarafından karara bağlanıp 26</w:t>
      </w:r>
      <w:r>
        <w:rPr>
          <w:rFonts w:ascii="Palatino Linotype" w:hAnsi="Palatino Linotype" w:cs="Times New Roman"/>
          <w:bCs/>
        </w:rPr>
        <w:t>/</w:t>
      </w:r>
      <w:r w:rsidRPr="00A1264E">
        <w:rPr>
          <w:rFonts w:ascii="Palatino Linotype" w:hAnsi="Palatino Linotype" w:cs="Times New Roman"/>
          <w:bCs/>
        </w:rPr>
        <w:t>9</w:t>
      </w:r>
      <w:r>
        <w:rPr>
          <w:rFonts w:ascii="Palatino Linotype" w:hAnsi="Palatino Linotype" w:cs="Times New Roman"/>
          <w:bCs/>
        </w:rPr>
        <w:t>/</w:t>
      </w:r>
      <w:r w:rsidRPr="00A1264E">
        <w:rPr>
          <w:rFonts w:ascii="Palatino Linotype" w:hAnsi="Palatino Linotype" w:cs="Times New Roman"/>
          <w:bCs/>
        </w:rPr>
        <w:t>2023</w:t>
      </w:r>
      <w:r>
        <w:rPr>
          <w:rFonts w:ascii="Palatino Linotype" w:hAnsi="Palatino Linotype" w:cs="Times New Roman"/>
          <w:bCs/>
        </w:rPr>
        <w:t>’te</w:t>
      </w:r>
      <w:r w:rsidRPr="00A1264E">
        <w:rPr>
          <w:rFonts w:ascii="Palatino Linotype" w:hAnsi="Palatino Linotype" w:cs="Times New Roman"/>
          <w:bCs/>
        </w:rPr>
        <w:t xml:space="preserve"> açıklanan Yalçınkaya</w:t>
      </w:r>
      <w:r>
        <w:rPr>
          <w:rFonts w:ascii="Palatino Linotype" w:hAnsi="Palatino Linotype" w:cs="Times New Roman"/>
          <w:bCs/>
        </w:rPr>
        <w:t>/</w:t>
      </w:r>
      <w:r w:rsidRPr="00A1264E">
        <w:rPr>
          <w:rFonts w:ascii="Palatino Linotype" w:hAnsi="Palatino Linotype" w:cs="Times New Roman"/>
          <w:bCs/>
        </w:rPr>
        <w:t>Türkiye başvurusunda (B.No:</w:t>
      </w:r>
      <w:r>
        <w:rPr>
          <w:rFonts w:ascii="Palatino Linotype" w:hAnsi="Palatino Linotype" w:cs="Times New Roman"/>
          <w:bCs/>
        </w:rPr>
        <w:t xml:space="preserve"> </w:t>
      </w:r>
      <w:r w:rsidRPr="00A1264E">
        <w:rPr>
          <w:rFonts w:ascii="Palatino Linotype" w:hAnsi="Palatino Linotype" w:cs="Times New Roman"/>
          <w:bCs/>
        </w:rPr>
        <w:t xml:space="preserve">15669/20) ortaya konulan ve benzer davaları da doğrudan ilgilendiren genel bir sistemik sorunun tespiti nedeniyle </w:t>
      </w:r>
      <w:r>
        <w:rPr>
          <w:rFonts w:ascii="Palatino Linotype" w:hAnsi="Palatino Linotype" w:cs="Times New Roman"/>
          <w:bCs/>
        </w:rPr>
        <w:t>Mahkemeniz önünde</w:t>
      </w:r>
      <w:r w:rsidRPr="00A1264E">
        <w:rPr>
          <w:rFonts w:ascii="Palatino Linotype" w:hAnsi="Palatino Linotype" w:cs="Times New Roman"/>
          <w:bCs/>
        </w:rPr>
        <w:t xml:space="preserve"> derdest bulunan dosya kapsamında değerlendirilmek üzere iş bu </w:t>
      </w:r>
      <w:r>
        <w:rPr>
          <w:rFonts w:ascii="Palatino Linotype" w:hAnsi="Palatino Linotype" w:cs="Times New Roman"/>
          <w:bCs/>
        </w:rPr>
        <w:t>e</w:t>
      </w:r>
      <w:r w:rsidRPr="00A1264E">
        <w:rPr>
          <w:rFonts w:ascii="Palatino Linotype" w:hAnsi="Palatino Linotype" w:cs="Times New Roman"/>
          <w:bCs/>
        </w:rPr>
        <w:t xml:space="preserve">k dilekçenin </w:t>
      </w:r>
      <w:r>
        <w:rPr>
          <w:rFonts w:ascii="Palatino Linotype" w:hAnsi="Palatino Linotype" w:cs="Times New Roman"/>
          <w:bCs/>
        </w:rPr>
        <w:t>yazılması</w:t>
      </w:r>
      <w:r w:rsidRPr="00A1264E">
        <w:rPr>
          <w:rFonts w:ascii="Palatino Linotype" w:hAnsi="Palatino Linotype" w:cs="Times New Roman"/>
          <w:bCs/>
        </w:rPr>
        <w:t xml:space="preserve"> ihtiyacı </w:t>
      </w:r>
      <w:r>
        <w:rPr>
          <w:rFonts w:ascii="Palatino Linotype" w:hAnsi="Palatino Linotype" w:cs="Times New Roman"/>
          <w:bCs/>
        </w:rPr>
        <w:t>doğmuştur</w:t>
      </w:r>
      <w:r w:rsidRPr="00A1264E">
        <w:rPr>
          <w:rFonts w:ascii="Palatino Linotype" w:hAnsi="Palatino Linotype" w:cs="Times New Roman"/>
          <w:bCs/>
        </w:rPr>
        <w:t>.</w:t>
      </w:r>
    </w:p>
    <w:p w14:paraId="422AAEE2" w14:textId="712C9937" w:rsidR="00FE698F" w:rsidRPr="00FE698F" w:rsidRDefault="00FE698F" w:rsidP="00FE698F">
      <w:pPr>
        <w:pStyle w:val="ListeParagraf"/>
        <w:numPr>
          <w:ilvl w:val="0"/>
          <w:numId w:val="2"/>
        </w:numPr>
        <w:tabs>
          <w:tab w:val="left" w:pos="3870"/>
        </w:tabs>
        <w:spacing w:line="360" w:lineRule="auto"/>
        <w:ind w:left="567" w:right="-378" w:hanging="567"/>
        <w:jc w:val="both"/>
        <w:rPr>
          <w:rFonts w:ascii="Palatino Linotype" w:hAnsi="Palatino Linotype" w:cs="Times New Roman"/>
          <w:bCs/>
        </w:rPr>
      </w:pPr>
      <w:r>
        <w:rPr>
          <w:rFonts w:ascii="Palatino Linotype" w:hAnsi="Palatino Linotype" w:cs="Times New Roman"/>
          <w:bCs/>
        </w:rPr>
        <w:t>D</w:t>
      </w:r>
      <w:r w:rsidRPr="00B84193">
        <w:rPr>
          <w:rFonts w:ascii="Palatino Linotype" w:hAnsi="Palatino Linotype" w:cs="Times New Roman"/>
          <w:bCs/>
        </w:rPr>
        <w:t>ilekçe</w:t>
      </w:r>
      <w:r>
        <w:rPr>
          <w:rFonts w:ascii="Palatino Linotype" w:hAnsi="Palatino Linotype" w:cs="Times New Roman"/>
          <w:bCs/>
        </w:rPr>
        <w:t>sinin</w:t>
      </w:r>
      <w:r w:rsidRPr="00B84193">
        <w:rPr>
          <w:rFonts w:ascii="Palatino Linotype" w:hAnsi="Palatino Linotype" w:cs="Times New Roman"/>
          <w:bCs/>
        </w:rPr>
        <w:t xml:space="preserve"> dayanağını oluşturan Yalçınkaya</w:t>
      </w:r>
      <w:r>
        <w:rPr>
          <w:rFonts w:ascii="Palatino Linotype" w:hAnsi="Palatino Linotype" w:cs="Times New Roman"/>
          <w:bCs/>
        </w:rPr>
        <w:t>/</w:t>
      </w:r>
      <w:r w:rsidRPr="00B84193">
        <w:rPr>
          <w:rFonts w:ascii="Palatino Linotype" w:hAnsi="Palatino Linotype" w:cs="Times New Roman"/>
          <w:bCs/>
        </w:rPr>
        <w:t>Türkiye kararında AİHM’nin önemle vurguladığ</w:t>
      </w:r>
      <w:r>
        <w:rPr>
          <w:rFonts w:ascii="Palatino Linotype" w:hAnsi="Palatino Linotype" w:cs="Times New Roman"/>
          <w:bCs/>
        </w:rPr>
        <w:t>ı ve</w:t>
      </w:r>
      <w:r w:rsidRPr="00B84193">
        <w:rPr>
          <w:rFonts w:ascii="Palatino Linotype" w:hAnsi="Palatino Linotype" w:cs="Times New Roman"/>
          <w:bCs/>
        </w:rPr>
        <w:t xml:space="preserve"> ihlal tespit</w:t>
      </w:r>
      <w:r>
        <w:rPr>
          <w:rFonts w:ascii="Palatino Linotype" w:hAnsi="Palatino Linotype" w:cs="Times New Roman"/>
          <w:bCs/>
        </w:rPr>
        <w:t xml:space="preserve"> ettiği hususlara</w:t>
      </w:r>
      <w:r w:rsidRPr="00B84193">
        <w:rPr>
          <w:rFonts w:ascii="Palatino Linotype" w:hAnsi="Palatino Linotype" w:cs="Times New Roman"/>
          <w:bCs/>
        </w:rPr>
        <w:t xml:space="preserve"> kısaca değinilmesinde fayda </w:t>
      </w:r>
      <w:r>
        <w:rPr>
          <w:rFonts w:ascii="Palatino Linotype" w:hAnsi="Palatino Linotype" w:cs="Times New Roman"/>
          <w:bCs/>
        </w:rPr>
        <w:t>vardır</w:t>
      </w:r>
      <w:r w:rsidRPr="00B84193">
        <w:rPr>
          <w:rFonts w:ascii="Palatino Linotype" w:hAnsi="Palatino Linotype" w:cs="Times New Roman"/>
          <w:bCs/>
        </w:rPr>
        <w:t>.</w:t>
      </w:r>
    </w:p>
    <w:p w14:paraId="1FA142D1" w14:textId="19475872" w:rsidR="00F83122" w:rsidRPr="00C47AC0" w:rsidRDefault="003A6719" w:rsidP="00C61BA4">
      <w:pPr>
        <w:tabs>
          <w:tab w:val="left" w:pos="3870"/>
        </w:tabs>
        <w:spacing w:line="360" w:lineRule="auto"/>
        <w:ind w:right="-378"/>
        <w:jc w:val="both"/>
        <w:rPr>
          <w:rFonts w:ascii="Palatino Linotype" w:hAnsi="Palatino Linotype" w:cs="Times New Roman"/>
          <w:b/>
        </w:rPr>
      </w:pPr>
      <w:r w:rsidRPr="00C47AC0">
        <w:rPr>
          <w:rFonts w:ascii="Palatino Linotype" w:hAnsi="Palatino Linotype" w:cs="Times New Roman"/>
          <w:b/>
        </w:rPr>
        <w:t xml:space="preserve">II. </w:t>
      </w:r>
      <w:r w:rsidR="00F508CA" w:rsidRPr="00C47AC0">
        <w:rPr>
          <w:rFonts w:ascii="Palatino Linotype" w:hAnsi="Palatino Linotype" w:cs="Times New Roman"/>
          <w:b/>
        </w:rPr>
        <w:t>Talebimize Konu Olay</w:t>
      </w:r>
    </w:p>
    <w:p w14:paraId="7E37E5DB" w14:textId="1AD510F2" w:rsidR="0000402A" w:rsidRPr="00C47AC0"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Avrupa İnsan Hakları Mahkemesi 26 Eylül 2023 tarihinde </w:t>
      </w:r>
      <w:r w:rsidR="009C6702">
        <w:rPr>
          <w:rFonts w:ascii="Palatino Linotype" w:hAnsi="Palatino Linotype" w:cs="Times New Roman"/>
          <w:bCs/>
        </w:rPr>
        <w:t>benimle</w:t>
      </w:r>
      <w:r w:rsidRPr="00C47AC0">
        <w:rPr>
          <w:rFonts w:ascii="Palatino Linotype" w:hAnsi="Palatino Linotype" w:cs="Times New Roman"/>
          <w:bCs/>
        </w:rPr>
        <w:t xml:space="preserve"> aynı suçlamaya maruz kalmış, </w:t>
      </w:r>
      <w:r w:rsidR="00681B83" w:rsidRPr="00C47AC0">
        <w:rPr>
          <w:rFonts w:ascii="Palatino Linotype" w:hAnsi="Palatino Linotype" w:cs="Times New Roman"/>
          <w:bCs/>
        </w:rPr>
        <w:t xml:space="preserve">benzer </w:t>
      </w:r>
      <w:r w:rsidRPr="00C47AC0">
        <w:rPr>
          <w:rFonts w:ascii="Palatino Linotype" w:hAnsi="Palatino Linotype" w:cs="Times New Roman"/>
          <w:bCs/>
        </w:rPr>
        <w:t>deliller</w:t>
      </w:r>
      <w:r w:rsidR="00681B83" w:rsidRPr="00C47AC0">
        <w:rPr>
          <w:rFonts w:ascii="Palatino Linotype" w:hAnsi="Palatino Linotype" w:cs="Times New Roman"/>
          <w:bCs/>
        </w:rPr>
        <w:t>le</w:t>
      </w:r>
      <w:r w:rsidRPr="00C47AC0">
        <w:rPr>
          <w:rFonts w:ascii="Palatino Linotype" w:hAnsi="Palatino Linotype" w:cs="Times New Roman"/>
          <w:bCs/>
        </w:rPr>
        <w:t xml:space="preserve"> </w:t>
      </w:r>
      <w:proofErr w:type="gramStart"/>
      <w:r w:rsidRPr="00C47AC0">
        <w:rPr>
          <w:rFonts w:ascii="Palatino Linotype" w:hAnsi="Palatino Linotype" w:cs="Times New Roman"/>
          <w:bCs/>
        </w:rPr>
        <w:t>mahkum</w:t>
      </w:r>
      <w:proofErr w:type="gramEnd"/>
      <w:r w:rsidRPr="00C47AC0">
        <w:rPr>
          <w:rFonts w:ascii="Palatino Linotype" w:hAnsi="Palatino Linotype" w:cs="Times New Roman"/>
          <w:bCs/>
        </w:rPr>
        <w:t xml:space="preserve"> olmuş ve hakkındaki karar kesinleşmiş olan Yüksel Yalçınkaya başvurusunda temel hak ihlali tespiti yapmıştır.</w:t>
      </w:r>
    </w:p>
    <w:p w14:paraId="381325A8" w14:textId="6118C5D5" w:rsidR="0006254E" w:rsidRPr="00C47AC0"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Davayı Büyük Daire incelemiş ve kesin karar vermiştir.</w:t>
      </w:r>
      <w:r w:rsidR="0006254E" w:rsidRPr="00C47AC0">
        <w:rPr>
          <w:rFonts w:ascii="Palatino Linotype" w:hAnsi="Palatino Linotype" w:cs="Times New Roman"/>
          <w:bCs/>
        </w:rPr>
        <w:t xml:space="preserve"> Bu dava diğer benzer davalara örnek</w:t>
      </w:r>
      <w:r w:rsidR="00B928E8" w:rsidRPr="00C47AC0">
        <w:rPr>
          <w:rFonts w:ascii="Palatino Linotype" w:hAnsi="Palatino Linotype" w:cs="Times New Roman"/>
          <w:bCs/>
        </w:rPr>
        <w:t>/öncü</w:t>
      </w:r>
      <w:r w:rsidR="0006254E" w:rsidRPr="00C47AC0">
        <w:rPr>
          <w:rFonts w:ascii="Palatino Linotype" w:hAnsi="Palatino Linotype" w:cs="Times New Roman"/>
          <w:bCs/>
        </w:rPr>
        <w:t xml:space="preserve"> teşkil etmesi amacıyla </w:t>
      </w:r>
      <w:r w:rsidR="0006254E" w:rsidRPr="00C47AC0">
        <w:rPr>
          <w:rFonts w:ascii="Palatino Linotype" w:hAnsi="Palatino Linotype" w:cs="Times New Roman"/>
          <w:bCs/>
          <w:i/>
          <w:iCs/>
        </w:rPr>
        <w:t>“Leading Case”</w:t>
      </w:r>
      <w:r w:rsidR="0006254E" w:rsidRPr="00C47AC0">
        <w:rPr>
          <w:rFonts w:ascii="Palatino Linotype" w:hAnsi="Palatino Linotype" w:cs="Times New Roman"/>
          <w:bCs/>
        </w:rPr>
        <w:t xml:space="preserve"> dava olarak seçilmiştir. AİHM, bu dava özelinden </w:t>
      </w:r>
      <w:r w:rsidR="00E40DC4" w:rsidRPr="00C47AC0">
        <w:rPr>
          <w:rFonts w:ascii="Palatino Linotype" w:hAnsi="Palatino Linotype" w:cs="Times New Roman"/>
          <w:bCs/>
        </w:rPr>
        <w:t xml:space="preserve">önlerinde </w:t>
      </w:r>
      <w:r w:rsidR="0006254E" w:rsidRPr="00C47AC0">
        <w:rPr>
          <w:rFonts w:ascii="Palatino Linotype" w:hAnsi="Palatino Linotype" w:cs="Times New Roman"/>
          <w:bCs/>
        </w:rPr>
        <w:t>derdest benzer 8000 dava ve Türkiye’de benzer 100</w:t>
      </w:r>
      <w:r w:rsidR="00F508CA" w:rsidRPr="00C47AC0">
        <w:rPr>
          <w:rFonts w:ascii="Palatino Linotype" w:hAnsi="Palatino Linotype" w:cs="Times New Roman"/>
          <w:bCs/>
        </w:rPr>
        <w:t>.</w:t>
      </w:r>
      <w:r w:rsidR="0006254E" w:rsidRPr="00C47AC0">
        <w:rPr>
          <w:rFonts w:ascii="Palatino Linotype" w:hAnsi="Palatino Linotype" w:cs="Times New Roman"/>
          <w:bCs/>
        </w:rPr>
        <w:t>000 dava bulunduğunu, dolayısıyla ortada sistemik bir sorun olduğunu tespit etmiştir.</w:t>
      </w:r>
    </w:p>
    <w:p w14:paraId="5A026F8B" w14:textId="5493B278" w:rsidR="00B928E8" w:rsidRPr="00C47AC0" w:rsidRDefault="0006254E" w:rsidP="00B928E8">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AİHM, ancak bu sorunun yargılamanın yenilenmesi dahil genel alınacak bir tedbirle çözülebileceğini, aksi halde gelecek her bir benzer başvuruyu bu davada aldığı ilkeler uyarınca sonuçlandıracağını ihtar etmiştir. </w:t>
      </w:r>
      <w:r w:rsidR="00B928E8" w:rsidRPr="00C47AC0">
        <w:rPr>
          <w:rFonts w:ascii="Palatino Linotype" w:hAnsi="Palatino Linotype" w:cs="Times New Roman"/>
          <w:bCs/>
        </w:rPr>
        <w:t xml:space="preserve">Bu nedenle Mahkeme, gelecekte çok sayıda davada benzer ihlalleri tespit etmek zorunda kalmamak için, mevcut kararda tespit edilen kusurların, ilgili ve mümkün olduğu ölçüde, Türk makamları tarafından daha geniş bir </w:t>
      </w:r>
      <w:proofErr w:type="gramStart"/>
      <w:r w:rsidR="00B928E8" w:rsidRPr="00C47AC0">
        <w:rPr>
          <w:rFonts w:ascii="Palatino Linotype" w:hAnsi="Palatino Linotype" w:cs="Times New Roman"/>
          <w:bCs/>
        </w:rPr>
        <w:t>ölçekte -</w:t>
      </w:r>
      <w:proofErr w:type="gramEnd"/>
      <w:r w:rsidR="00B928E8" w:rsidRPr="00C47AC0">
        <w:rPr>
          <w:rFonts w:ascii="Palatino Linotype" w:hAnsi="Palatino Linotype" w:cs="Times New Roman"/>
          <w:bCs/>
        </w:rPr>
        <w:t xml:space="preserve"> yani mevcut başvuranın özel davasının ötesinde - ele alınması gerektiği</w:t>
      </w:r>
      <w:r w:rsidR="00074124" w:rsidRPr="00C47AC0">
        <w:rPr>
          <w:rFonts w:ascii="Palatino Linotype" w:hAnsi="Palatino Linotype" w:cs="Times New Roman"/>
          <w:bCs/>
        </w:rPr>
        <w:t>ni söylemiştir</w:t>
      </w:r>
      <w:r w:rsidR="00B928E8" w:rsidRPr="00C47AC0">
        <w:rPr>
          <w:rFonts w:ascii="Palatino Linotype" w:hAnsi="Palatino Linotype" w:cs="Times New Roman"/>
          <w:bCs/>
        </w:rPr>
        <w:t xml:space="preserve">. Dolayısıyla, davalı Devlet'in </w:t>
      </w:r>
      <w:r w:rsidR="00074124" w:rsidRPr="00C47AC0">
        <w:rPr>
          <w:rFonts w:ascii="Palatino Linotype" w:hAnsi="Palatino Linotype" w:cs="Times New Roman"/>
          <w:bCs/>
        </w:rPr>
        <w:t xml:space="preserve">yani </w:t>
      </w:r>
      <w:r w:rsidR="00074124" w:rsidRPr="00C47AC0">
        <w:rPr>
          <w:rFonts w:ascii="Palatino Linotype" w:hAnsi="Palatino Linotype" w:cs="Times New Roman"/>
          <w:b/>
        </w:rPr>
        <w:t xml:space="preserve">Türkiye’nin </w:t>
      </w:r>
      <w:r w:rsidR="00B928E8" w:rsidRPr="00C47AC0">
        <w:rPr>
          <w:rFonts w:ascii="Palatino Linotype" w:hAnsi="Palatino Linotype" w:cs="Times New Roman"/>
          <w:b/>
        </w:rPr>
        <w:t>Sözleşme'nin 46. maddesi kapsamındaki yükümlülüklerine uygun olarak, mevcut karardan, özellikle ancak onlarla sınırlı olmamak üzere ulusal mahkemeler önünde görülmekte olan davalara ilişkin olarak gerekli sonuçları çıkarmak ve burada ihlal bulgularına yol açan yukarıda tespit edilen sorunu çözmek için uygun olan diğer genel tedbirleri alması gerekmektedir.</w:t>
      </w:r>
      <w:r w:rsidR="00B928E8" w:rsidRPr="00C47AC0">
        <w:rPr>
          <w:rFonts w:ascii="Palatino Linotype" w:hAnsi="Palatino Linotype" w:cs="Times New Roman"/>
          <w:bCs/>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00B928E8" w:rsidRPr="00C47AC0">
        <w:rPr>
          <w:rFonts w:ascii="Palatino Linotype" w:hAnsi="Palatino Linotype" w:cs="Times New Roman"/>
          <w:bCs/>
        </w:rPr>
        <w:t>418).</w:t>
      </w:r>
    </w:p>
    <w:p w14:paraId="6151EAF0" w14:textId="6AA0D784" w:rsidR="004E3A16" w:rsidRPr="00C47AC0"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lastRenderedPageBreak/>
        <w:t xml:space="preserve"> </w:t>
      </w:r>
      <w:r w:rsidR="009C3F9F" w:rsidRPr="00C47AC0">
        <w:rPr>
          <w:rFonts w:ascii="Palatino Linotype" w:hAnsi="Palatino Linotype" w:cs="Times New Roman"/>
          <w:bCs/>
        </w:rPr>
        <w:t>AİHM kararları</w:t>
      </w:r>
      <w:r w:rsidR="00074124" w:rsidRPr="00C47AC0">
        <w:rPr>
          <w:rFonts w:ascii="Palatino Linotype" w:hAnsi="Palatino Linotype" w:cs="Times New Roman"/>
          <w:bCs/>
        </w:rPr>
        <w:t xml:space="preserve"> AİHS 46 ve AY 90. </w:t>
      </w:r>
      <w:r w:rsidR="00681B83" w:rsidRPr="00C47AC0">
        <w:rPr>
          <w:rFonts w:ascii="Palatino Linotype" w:hAnsi="Palatino Linotype" w:cs="Times New Roman"/>
          <w:bCs/>
        </w:rPr>
        <w:t>m</w:t>
      </w:r>
      <w:r w:rsidR="00074124" w:rsidRPr="00C47AC0">
        <w:rPr>
          <w:rFonts w:ascii="Palatino Linotype" w:hAnsi="Palatino Linotype" w:cs="Times New Roman"/>
          <w:bCs/>
        </w:rPr>
        <w:t>addeler uyarınca Türkiye açısından bağlayıcıdır. Bu hükümler gereğince AİHM kararları (Yalçınkaya kararı gibi olanlar için) kesinleşen ve derdest olan tüm dosyalara uygulanması gerekmektedir.</w:t>
      </w:r>
    </w:p>
    <w:p w14:paraId="2D15CE13" w14:textId="288EECE9" w:rsidR="00C61BA4" w:rsidRPr="00C47AC0" w:rsidRDefault="009C6702" w:rsidP="00924F0F">
      <w:pPr>
        <w:pStyle w:val="ListeParagraf"/>
        <w:numPr>
          <w:ilvl w:val="0"/>
          <w:numId w:val="2"/>
        </w:numPr>
        <w:tabs>
          <w:tab w:val="left" w:pos="3870"/>
        </w:tabs>
        <w:spacing w:line="360" w:lineRule="auto"/>
        <w:ind w:left="630" w:right="-378"/>
        <w:jc w:val="both"/>
        <w:rPr>
          <w:rFonts w:ascii="Palatino Linotype" w:hAnsi="Palatino Linotype" w:cs="Times New Roman"/>
          <w:bCs/>
        </w:rPr>
      </w:pPr>
      <w:r>
        <w:rPr>
          <w:rFonts w:ascii="Palatino Linotype" w:hAnsi="Palatino Linotype" w:cs="Times New Roman"/>
          <w:bCs/>
        </w:rPr>
        <w:t>D</w:t>
      </w:r>
      <w:r w:rsidR="00D4338F" w:rsidRPr="00C47AC0">
        <w:rPr>
          <w:rFonts w:ascii="Palatino Linotype" w:hAnsi="Palatino Linotype" w:cs="Times New Roman"/>
          <w:bCs/>
        </w:rPr>
        <w:t>urumu</w:t>
      </w:r>
      <w:r>
        <w:rPr>
          <w:rFonts w:ascii="Palatino Linotype" w:hAnsi="Palatino Linotype" w:cs="Times New Roman"/>
          <w:bCs/>
        </w:rPr>
        <w:t>m</w:t>
      </w:r>
      <w:r w:rsidR="00D4338F" w:rsidRPr="00C47AC0">
        <w:rPr>
          <w:rFonts w:ascii="Palatino Linotype" w:hAnsi="Palatino Linotype" w:cs="Times New Roman"/>
          <w:bCs/>
        </w:rPr>
        <w:t xml:space="preserve"> AİHM kararına konu olan suçlama ile yüzde yüz örtüşmektedir. </w:t>
      </w:r>
      <w:r>
        <w:rPr>
          <w:rFonts w:ascii="Palatino Linotype" w:hAnsi="Palatino Linotype" w:cs="Times New Roman"/>
          <w:bCs/>
        </w:rPr>
        <w:t xml:space="preserve">Ben </w:t>
      </w:r>
      <w:proofErr w:type="gramStart"/>
      <w:r>
        <w:rPr>
          <w:rFonts w:ascii="Palatino Linotype" w:hAnsi="Palatino Linotype" w:cs="Times New Roman"/>
          <w:bCs/>
        </w:rPr>
        <w:t>de</w:t>
      </w:r>
      <w:r w:rsidR="00D4338F" w:rsidRPr="00C47AC0">
        <w:rPr>
          <w:rFonts w:ascii="Palatino Linotype" w:hAnsi="Palatino Linotype" w:cs="Times New Roman"/>
          <w:bCs/>
        </w:rPr>
        <w:t>,</w:t>
      </w:r>
      <w:proofErr w:type="gramEnd"/>
      <w:r w:rsidR="00D4338F" w:rsidRPr="00C47AC0">
        <w:rPr>
          <w:rFonts w:ascii="Palatino Linotype" w:hAnsi="Palatino Linotype" w:cs="Times New Roman"/>
          <w:bCs/>
        </w:rPr>
        <w:t xml:space="preserve"> AİHM’in kastettiği sistemik sorunun bir parçası</w:t>
      </w:r>
      <w:r>
        <w:rPr>
          <w:rFonts w:ascii="Palatino Linotype" w:hAnsi="Palatino Linotype" w:cs="Times New Roman"/>
          <w:bCs/>
        </w:rPr>
        <w:t>yım</w:t>
      </w:r>
      <w:r w:rsidR="00D4338F" w:rsidRPr="00C47AC0">
        <w:rPr>
          <w:rFonts w:ascii="Palatino Linotype" w:hAnsi="Palatino Linotype" w:cs="Times New Roman"/>
          <w:bCs/>
        </w:rPr>
        <w:t xml:space="preserve">. AİHM, verdiği kararının benzer </w:t>
      </w:r>
      <w:r w:rsidR="004E3A16" w:rsidRPr="00C47AC0">
        <w:rPr>
          <w:rFonts w:ascii="Palatino Linotype" w:hAnsi="Palatino Linotype" w:cs="Times New Roman"/>
          <w:bCs/>
        </w:rPr>
        <w:t xml:space="preserve">derdest </w:t>
      </w:r>
      <w:r w:rsidR="00D4338F" w:rsidRPr="00C47AC0">
        <w:rPr>
          <w:rFonts w:ascii="Palatino Linotype" w:hAnsi="Palatino Linotype" w:cs="Times New Roman"/>
          <w:bCs/>
        </w:rPr>
        <w:t>dosyalara</w:t>
      </w:r>
      <w:r w:rsidR="004E3A16" w:rsidRPr="00C47AC0">
        <w:rPr>
          <w:rFonts w:ascii="Palatino Linotype" w:hAnsi="Palatino Linotype" w:cs="Times New Roman"/>
          <w:bCs/>
        </w:rPr>
        <w:t xml:space="preserve"> ve</w:t>
      </w:r>
      <w:r w:rsidR="00D4338F" w:rsidRPr="00C47AC0">
        <w:rPr>
          <w:rFonts w:ascii="Palatino Linotype" w:hAnsi="Palatino Linotype" w:cs="Times New Roman"/>
          <w:bCs/>
        </w:rPr>
        <w:t xml:space="preserve"> kesinleşen kararlara da uygulanmasını ve </w:t>
      </w:r>
      <w:r w:rsidR="004E3A16" w:rsidRPr="00C47AC0">
        <w:rPr>
          <w:rFonts w:ascii="Palatino Linotype" w:hAnsi="Palatino Linotype" w:cs="Times New Roman"/>
          <w:bCs/>
        </w:rPr>
        <w:t>sistemik problemleri</w:t>
      </w:r>
      <w:r w:rsidR="00F508CA" w:rsidRPr="00C47AC0">
        <w:rPr>
          <w:rFonts w:ascii="Palatino Linotype" w:hAnsi="Palatino Linotype" w:cs="Times New Roman"/>
          <w:bCs/>
        </w:rPr>
        <w:t>n</w:t>
      </w:r>
      <w:r w:rsidR="004E3A16" w:rsidRPr="00C47AC0">
        <w:rPr>
          <w:rFonts w:ascii="Palatino Linotype" w:hAnsi="Palatino Linotype" w:cs="Times New Roman"/>
          <w:bCs/>
        </w:rPr>
        <w:t xml:space="preserve"> giderilmesini</w:t>
      </w:r>
      <w:r w:rsidR="00D4338F" w:rsidRPr="00C47AC0">
        <w:rPr>
          <w:rFonts w:ascii="Palatino Linotype" w:hAnsi="Palatino Linotype" w:cs="Times New Roman"/>
          <w:bCs/>
        </w:rPr>
        <w:t xml:space="preserve"> istemiştir. </w:t>
      </w:r>
      <w:r w:rsidR="00CD76E1" w:rsidRPr="00C47AC0">
        <w:rPr>
          <w:rFonts w:ascii="Palatino Linotype" w:hAnsi="Palatino Linotype" w:cs="Times New Roman"/>
          <w:bCs/>
        </w:rPr>
        <w:t xml:space="preserve">Bu nedenle </w:t>
      </w:r>
      <w:r w:rsidR="00CD76E1" w:rsidRPr="00B74D34">
        <w:rPr>
          <w:rFonts w:ascii="Palatino Linotype" w:hAnsi="Palatino Linotype" w:cs="Times New Roman"/>
          <w:bCs/>
        </w:rPr>
        <w:t>mahkemeni</w:t>
      </w:r>
      <w:r w:rsidR="004E3A16" w:rsidRPr="00B74D34">
        <w:rPr>
          <w:rFonts w:ascii="Palatino Linotype" w:hAnsi="Palatino Linotype" w:cs="Times New Roman"/>
          <w:bCs/>
        </w:rPr>
        <w:t>zin</w:t>
      </w:r>
      <w:r w:rsidR="00CD76E1" w:rsidRPr="00C47AC0">
        <w:rPr>
          <w:rFonts w:ascii="Palatino Linotype" w:hAnsi="Palatino Linotype" w:cs="Times New Roman"/>
          <w:bCs/>
        </w:rPr>
        <w:t xml:space="preserve"> </w:t>
      </w:r>
      <w:r w:rsidR="00CD76E1" w:rsidRPr="006C1FA0">
        <w:rPr>
          <w:rFonts w:ascii="Palatino Linotype" w:hAnsi="Palatino Linotype" w:cs="Times New Roman"/>
          <w:bCs/>
          <w:highlight w:val="yellow"/>
        </w:rPr>
        <w:t>hakkı</w:t>
      </w:r>
      <w:r w:rsidRPr="006C1FA0">
        <w:rPr>
          <w:rFonts w:ascii="Palatino Linotype" w:hAnsi="Palatino Linotype" w:cs="Times New Roman"/>
          <w:bCs/>
          <w:highlight w:val="yellow"/>
        </w:rPr>
        <w:t>m</w:t>
      </w:r>
      <w:r w:rsidR="00CD76E1" w:rsidRPr="006C1FA0">
        <w:rPr>
          <w:rFonts w:ascii="Palatino Linotype" w:hAnsi="Palatino Linotype" w:cs="Times New Roman"/>
          <w:bCs/>
          <w:highlight w:val="yellow"/>
        </w:rPr>
        <w:t>da</w:t>
      </w:r>
      <w:r w:rsidR="006C1FA0" w:rsidRPr="006C1FA0">
        <w:rPr>
          <w:rFonts w:ascii="Palatino Linotype" w:hAnsi="Palatino Linotype" w:cs="Times New Roman"/>
          <w:bCs/>
          <w:highlight w:val="yellow"/>
        </w:rPr>
        <w:t>/eşim hakkında</w:t>
      </w:r>
      <w:r w:rsidR="00924F0F" w:rsidRPr="00C47AC0">
        <w:rPr>
          <w:rFonts w:ascii="Palatino Linotype" w:hAnsi="Palatino Linotype" w:cs="Times New Roman"/>
          <w:bCs/>
        </w:rPr>
        <w:t xml:space="preserve"> devam eden dosyada bu kararı dikkate alarak</w:t>
      </w:r>
      <w:r w:rsidR="004E3A16" w:rsidRPr="00C47AC0">
        <w:rPr>
          <w:rFonts w:ascii="Palatino Linotype" w:hAnsi="Palatino Linotype" w:cs="Times New Roman"/>
          <w:bCs/>
        </w:rPr>
        <w:t xml:space="preserve"> </w:t>
      </w:r>
      <w:r w:rsidR="004E3A16" w:rsidRPr="00B74D34">
        <w:rPr>
          <w:rFonts w:ascii="Palatino Linotype" w:hAnsi="Palatino Linotype" w:cs="Times New Roman"/>
          <w:bCs/>
        </w:rPr>
        <w:t>beraatına</w:t>
      </w:r>
      <w:r w:rsidR="004E3A16" w:rsidRPr="00C47AC0">
        <w:rPr>
          <w:rFonts w:ascii="Palatino Linotype" w:hAnsi="Palatino Linotype" w:cs="Times New Roman"/>
          <w:bCs/>
        </w:rPr>
        <w:t xml:space="preserve"> karar vermesi </w:t>
      </w:r>
      <w:r w:rsidR="00CD76E1" w:rsidRPr="00C47AC0">
        <w:rPr>
          <w:rFonts w:ascii="Palatino Linotype" w:hAnsi="Palatino Linotype" w:cs="Times New Roman"/>
          <w:bCs/>
        </w:rPr>
        <w:t>Anayasanın ve Sözleşme hukukunun üstünlüğünün gereğidir.</w:t>
      </w:r>
      <w:r w:rsidR="00D4338F" w:rsidRPr="00C47AC0">
        <w:rPr>
          <w:rFonts w:ascii="Palatino Linotype" w:hAnsi="Palatino Linotype" w:cs="Times New Roman"/>
          <w:bCs/>
        </w:rPr>
        <w:t xml:space="preserve"> </w:t>
      </w:r>
    </w:p>
    <w:p w14:paraId="52DF9A8A" w14:textId="1E279588" w:rsidR="008A5BF2" w:rsidRPr="00C47AC0" w:rsidRDefault="00C61BA4" w:rsidP="00C61BA4">
      <w:pPr>
        <w:spacing w:after="0"/>
        <w:ind w:left="180" w:hanging="270"/>
        <w:jc w:val="both"/>
        <w:rPr>
          <w:rFonts w:ascii="Palatino Linotype" w:hAnsi="Palatino Linotype" w:cs="Times New Roman"/>
          <w:i/>
          <w:lang w:val="tr"/>
        </w:rPr>
      </w:pPr>
      <w:r w:rsidRPr="00C47AC0">
        <w:rPr>
          <w:rFonts w:ascii="Palatino Linotype" w:hAnsi="Palatino Linotype" w:cs="Times New Roman"/>
          <w:b/>
          <w:lang w:val="tr"/>
        </w:rPr>
        <w:t xml:space="preserve">A- </w:t>
      </w:r>
      <w:r w:rsidR="008A5BF2" w:rsidRPr="00C47AC0">
        <w:rPr>
          <w:rFonts w:ascii="Palatino Linotype" w:hAnsi="Palatino Linotype" w:cs="Times New Roman"/>
          <w:b/>
          <w:lang w:val="tr"/>
        </w:rPr>
        <w:t xml:space="preserve">AİHM’in Yüksel Yalçınkaya/Türkiye Davasının </w:t>
      </w:r>
      <w:r w:rsidRPr="00C47AC0">
        <w:rPr>
          <w:rFonts w:ascii="Palatino Linotype" w:hAnsi="Palatino Linotype" w:cs="Times New Roman"/>
          <w:b/>
          <w:lang w:val="tr"/>
        </w:rPr>
        <w:t xml:space="preserve">Süreci </w:t>
      </w:r>
      <w:r w:rsidR="008A5BF2" w:rsidRPr="00C47AC0">
        <w:rPr>
          <w:rFonts w:ascii="Palatino Linotype" w:hAnsi="Palatino Linotype" w:cs="Times New Roman"/>
          <w:i/>
          <w:lang w:val="tr"/>
        </w:rPr>
        <w:t xml:space="preserve">(Büyük Daire-Başvuru No. </w:t>
      </w:r>
      <w:r w:rsidRPr="00C47AC0">
        <w:rPr>
          <w:rFonts w:ascii="Palatino Linotype" w:hAnsi="Palatino Linotype" w:cs="Times New Roman"/>
          <w:i/>
          <w:lang w:val="tr"/>
        </w:rPr>
        <w:t xml:space="preserve">   </w:t>
      </w:r>
      <w:r w:rsidR="008A5BF2" w:rsidRPr="00C47AC0">
        <w:rPr>
          <w:rFonts w:ascii="Palatino Linotype" w:hAnsi="Palatino Linotype" w:cs="Times New Roman"/>
          <w:i/>
          <w:lang w:val="tr"/>
        </w:rPr>
        <w:t>15669/20; 26 Eylül 2023)</w:t>
      </w:r>
    </w:p>
    <w:p w14:paraId="338CBF27" w14:textId="77777777" w:rsidR="00E40DC4" w:rsidRPr="00C47AC0" w:rsidRDefault="00E40DC4" w:rsidP="00C61BA4">
      <w:pPr>
        <w:spacing w:after="0"/>
        <w:ind w:left="180" w:hanging="270"/>
        <w:jc w:val="both"/>
        <w:rPr>
          <w:rFonts w:ascii="Palatino Linotype" w:hAnsi="Palatino Linotype" w:cs="Times New Roman"/>
          <w:i/>
          <w:lang w:val="tr"/>
        </w:rPr>
      </w:pPr>
    </w:p>
    <w:p w14:paraId="6CD506ED" w14:textId="484463D3"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Kayseri’de bir devlet okulunda öğretmen olan başvuran Yüksel Yalçınkaya, Türk makamları tarafından "FETÖ/PDY" olarak tanımlanan silahlı terör örgütüne üyelikten 21 Mart 2017 tarihinde Kayseri Ağır Ceza Mahkemesince altı yıl üç ay hapis cezasına </w:t>
      </w:r>
      <w:proofErr w:type="gramStart"/>
      <w:r w:rsidRPr="00C47AC0">
        <w:rPr>
          <w:rFonts w:ascii="Palatino Linotype" w:hAnsi="Palatino Linotype" w:cs="Times New Roman"/>
          <w:iCs/>
          <w:lang w:val="tr"/>
        </w:rPr>
        <w:t>mahkum</w:t>
      </w:r>
      <w:proofErr w:type="gramEnd"/>
      <w:r w:rsidRPr="00C47AC0">
        <w:rPr>
          <w:rFonts w:ascii="Palatino Linotype" w:hAnsi="Palatino Linotype" w:cs="Times New Roman"/>
          <w:iCs/>
          <w:lang w:val="tr"/>
        </w:rPr>
        <w:t xml:space="preserve"> edilmiştir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 xml:space="preserve">63). </w:t>
      </w:r>
    </w:p>
    <w:p w14:paraId="4377AE67" w14:textId="2A089BA8"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iCs/>
          <w:lang w:val="tr"/>
        </w:rPr>
        <w:t>Mahkûmiyet kararı</w:t>
      </w:r>
      <w:r w:rsidRPr="00C47AC0">
        <w:rPr>
          <w:rFonts w:ascii="Palatino Linotype" w:hAnsi="Palatino Linotype" w:cs="Times New Roman"/>
          <w:bCs/>
        </w:rPr>
        <w:t>, başvuranın, "ByLock" adlı şifreli bir mesajlaşma uygulamasını kullanmasına, Bank Asya'da bir hesap sahibi olmasına, bir sendika (Aktif Eğitimciler Sendikası) ve derneğe (Kayseri Gönüllü Eğitimciler Derneği) üye olmasına dayandırılmıştır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bCs/>
        </w:rPr>
        <w:t>1, 24, 27).</w:t>
      </w:r>
    </w:p>
    <w:p w14:paraId="616A8C71" w14:textId="77777777"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Başvuran, yargılanmasının ve mahkûmiyetinin Sözleşme'nin 6, 7, 8 ve 11. maddelerinin ihlali anlamına geldiğinden bahisle 17 Mart 2020 tarihinde </w:t>
      </w:r>
      <w:proofErr w:type="spellStart"/>
      <w:r w:rsidRPr="00C47AC0">
        <w:rPr>
          <w:rFonts w:ascii="Palatino Linotype" w:hAnsi="Palatino Linotype" w:cs="Times New Roman"/>
          <w:bCs/>
        </w:rPr>
        <w:t>AİHM’e</w:t>
      </w:r>
      <w:proofErr w:type="spellEnd"/>
      <w:r w:rsidRPr="00C47AC0">
        <w:rPr>
          <w:rFonts w:ascii="Palatino Linotype" w:hAnsi="Palatino Linotype" w:cs="Times New Roman"/>
          <w:bCs/>
        </w:rPr>
        <w:t xml:space="preserve"> başvurmuştur (</w:t>
      </w:r>
      <w:proofErr w:type="spellStart"/>
      <w:r w:rsidRPr="00C47AC0">
        <w:rPr>
          <w:rFonts w:ascii="Palatino Linotype" w:hAnsi="Palatino Linotype" w:cs="Times New Roman"/>
          <w:bCs/>
        </w:rPr>
        <w:t>prg</w:t>
      </w:r>
      <w:proofErr w:type="spellEnd"/>
      <w:r w:rsidRPr="00C47AC0">
        <w:rPr>
          <w:rFonts w:ascii="Palatino Linotype" w:hAnsi="Palatino Linotype" w:cs="Times New Roman"/>
          <w:bCs/>
        </w:rPr>
        <w:t xml:space="preserve"> 1, 2).</w:t>
      </w:r>
    </w:p>
    <w:p w14:paraId="4F9AC1E3" w14:textId="27CF6A9B"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Başvuru, Mahkeme'nin İkinci Bölümü'ne havale edilmiş ve Bölüm, başvuruyu benzer vakalar açısından </w:t>
      </w:r>
      <w:r w:rsidRPr="00C47AC0">
        <w:rPr>
          <w:rFonts w:ascii="Palatino Linotype" w:hAnsi="Palatino Linotype" w:cs="Times New Roman"/>
          <w:bCs/>
          <w:i/>
          <w:iCs/>
        </w:rPr>
        <w:t>“</w:t>
      </w:r>
      <w:proofErr w:type="spellStart"/>
      <w:r w:rsidRPr="00C47AC0">
        <w:rPr>
          <w:rFonts w:ascii="Palatino Linotype" w:hAnsi="Palatino Linotype" w:cs="Times New Roman"/>
          <w:bCs/>
          <w:i/>
          <w:iCs/>
        </w:rPr>
        <w:t>leading</w:t>
      </w:r>
      <w:proofErr w:type="spellEnd"/>
      <w:r w:rsidRPr="00C47AC0">
        <w:rPr>
          <w:rFonts w:ascii="Palatino Linotype" w:hAnsi="Palatino Linotype" w:cs="Times New Roman"/>
          <w:bCs/>
          <w:i/>
          <w:iCs/>
        </w:rPr>
        <w:t xml:space="preserve"> </w:t>
      </w:r>
      <w:proofErr w:type="spellStart"/>
      <w:r w:rsidRPr="00C47AC0">
        <w:rPr>
          <w:rFonts w:ascii="Palatino Linotype" w:hAnsi="Palatino Linotype" w:cs="Times New Roman"/>
          <w:bCs/>
          <w:i/>
          <w:iCs/>
        </w:rPr>
        <w:t>case</w:t>
      </w:r>
      <w:proofErr w:type="spellEnd"/>
      <w:r w:rsidRPr="00C47AC0">
        <w:rPr>
          <w:rFonts w:ascii="Palatino Linotype" w:hAnsi="Palatino Linotype" w:cs="Times New Roman"/>
          <w:bCs/>
          <w:i/>
          <w:iCs/>
        </w:rPr>
        <w:t>”</w:t>
      </w:r>
      <w:r w:rsidRPr="00C47AC0">
        <w:rPr>
          <w:rFonts w:ascii="Palatino Linotype" w:hAnsi="Palatino Linotype" w:cs="Times New Roman"/>
          <w:bCs/>
        </w:rPr>
        <w:t xml:space="preserve"> (önde gelen ve diğerlerine örnek olacak) olarak (02/03/2021) seçmiştir. 3 Mayıs 2022 tarihinde, İkinci Bölüm, Büyük Daire lehine yargı yetkisinden feragat etmeye karar vermiştir (</w:t>
      </w:r>
      <w:r w:rsidR="00F508CA" w:rsidRPr="00C47AC0">
        <w:rPr>
          <w:rFonts w:ascii="Palatino Linotype" w:eastAsia="Calibri" w:hAnsi="Palatino Linotype" w:cs="Times New Roman"/>
          <w:iCs/>
          <w:kern w:val="2"/>
          <w:lang w:val="tr"/>
          <w14:ligatures w14:val="standardContextual"/>
        </w:rPr>
        <w:t>§</w:t>
      </w:r>
      <w:r w:rsidRPr="00C47AC0">
        <w:rPr>
          <w:rFonts w:ascii="Palatino Linotype" w:hAnsi="Palatino Linotype" w:cs="Times New Roman"/>
          <w:bCs/>
        </w:rPr>
        <w:t xml:space="preserve"> 6). </w:t>
      </w:r>
    </w:p>
    <w:p w14:paraId="7F0CFE73" w14:textId="48902084"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bCs/>
        </w:rPr>
        <w:t>Büyük Daire</w:t>
      </w:r>
      <w:r w:rsidRPr="00C47AC0">
        <w:rPr>
          <w:rFonts w:ascii="Palatino Linotype" w:hAnsi="Palatino Linotype" w:cs="Times New Roman"/>
          <w:iCs/>
          <w:lang w:val="tr"/>
        </w:rPr>
        <w:t>, başvuru ile ilgili duruşmayı, 18 Ocak 2023 tarihinde kamuya açık olarak gerçekleştirmiştir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9).</w:t>
      </w:r>
      <w:r w:rsidRPr="00C47AC0">
        <w:rPr>
          <w:rFonts w:ascii="Palatino Linotype" w:eastAsia="Times New Roman" w:hAnsi="Palatino Linotype" w:cs="Times New Roman"/>
          <w:lang w:val="tr" w:eastAsia="fr-CH"/>
        </w:rPr>
        <w:t xml:space="preserve"> </w:t>
      </w:r>
      <w:r w:rsidRPr="00C47AC0">
        <w:rPr>
          <w:rFonts w:ascii="Palatino Linotype" w:hAnsi="Palatino Linotype" w:cs="Times New Roman"/>
          <w:iCs/>
          <w:lang w:val="tr"/>
        </w:rPr>
        <w:t>Büyük Daire halinde toplanan AİHM, 18 Ocak ve 28 Haziran 2023 tarihlerinde gerçekleştirilen kapalı müzakerelerin ardından daha sonraki bir tarihte kabul edilen kararını 26 Eylül 2023 tarihinde açıklamıştır.</w:t>
      </w:r>
    </w:p>
    <w:p w14:paraId="49F69250" w14:textId="0E25D819" w:rsidR="00CA2C93" w:rsidRPr="00C47AC0" w:rsidRDefault="008A5BF2" w:rsidP="00CA2C93">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bCs/>
        </w:rPr>
        <w:lastRenderedPageBreak/>
        <w:t>AİHM</w:t>
      </w:r>
      <w:r w:rsidRPr="00C47AC0">
        <w:rPr>
          <w:rFonts w:ascii="Palatino Linotype" w:hAnsi="Palatino Linotype" w:cs="Times New Roman"/>
          <w:iCs/>
          <w:lang w:val="tr"/>
        </w:rPr>
        <w:t xml:space="preserve">, AİHS’nin 7/1. Maddesinin </w:t>
      </w:r>
      <w:r w:rsidRPr="00C47AC0">
        <w:rPr>
          <w:rFonts w:ascii="Palatino Linotype" w:hAnsi="Palatino Linotype" w:cs="Times New Roman"/>
          <w:i/>
          <w:iCs/>
          <w:lang w:val="tr"/>
        </w:rPr>
        <w:t>“Hiç kimse, işlendiği zaman ulusal veya uluslararası hukuka göre suç oluşturmayan bir eylem veya ihmalden dolayı suçlu bulunamaz. Aynı biçimde, suçun işlendiği sırada uygulanabilir olan cezadan daha ağır bir ceza verilemez.”</w:t>
      </w:r>
      <w:r w:rsidRPr="00C47AC0">
        <w:rPr>
          <w:rFonts w:ascii="Palatino Linotype" w:hAnsi="Palatino Linotype" w:cs="Times New Roman"/>
          <w:lang w:val="tr"/>
        </w:rPr>
        <w:t xml:space="preserve"> hükmünü; 6/1. maddesinin </w:t>
      </w:r>
      <w:r w:rsidRPr="00C47AC0">
        <w:rPr>
          <w:rFonts w:ascii="Palatino Linotype" w:hAnsi="Palatino Linotype" w:cs="Times New Roman"/>
          <w:i/>
          <w:lang w:val="tr"/>
        </w:rPr>
        <w:t xml:space="preserve">"Herkes, kendisine yöneltilen herhangi bir suç isnadının ... karara bağlanmasında, ... yasayla kurulmuş bir mahkeme tarafından ... adil bir ... duruşma yapılmasını isteme hakkına sahiptir. ..." </w:t>
      </w:r>
      <w:r w:rsidRPr="00C47AC0">
        <w:rPr>
          <w:rFonts w:ascii="Palatino Linotype" w:hAnsi="Palatino Linotype" w:cs="Times New Roman"/>
          <w:iCs/>
          <w:lang w:val="tr"/>
        </w:rPr>
        <w:t>hükmünü</w:t>
      </w:r>
      <w:r w:rsidRPr="00C47AC0">
        <w:rPr>
          <w:rFonts w:ascii="Palatino Linotype" w:hAnsi="Palatino Linotype" w:cs="Times New Roman"/>
          <w:lang w:val="tr"/>
        </w:rPr>
        <w:t xml:space="preserve">; 11. Maddesinin </w:t>
      </w:r>
      <w:r w:rsidRPr="00C47AC0">
        <w:rPr>
          <w:rFonts w:ascii="Palatino Linotype" w:hAnsi="Palatino Linotype" w:cs="Times New Roman"/>
          <w:i/>
          <w:lang w:val="tr"/>
        </w:rPr>
        <w:t>"Herkes, çıkarlarını korumak için sendika kurma ve sendikalara üye olma hakkı da dahil olmak üzere, barışçıl olarak toplanma ve başkalarıyla birlikte örgütlenme özgürlüğü hakkına sahiptir.”</w:t>
      </w:r>
      <w:r w:rsidRPr="00C47AC0">
        <w:rPr>
          <w:rFonts w:ascii="Palatino Linotype" w:hAnsi="Palatino Linotype" w:cs="Times New Roman"/>
          <w:iCs/>
          <w:lang w:val="tr"/>
        </w:rPr>
        <w:t xml:space="preserve"> hükmünü dikkate alarak, </w:t>
      </w:r>
      <w:r w:rsidRPr="00C47AC0">
        <w:rPr>
          <w:rFonts w:ascii="Palatino Linotype" w:hAnsi="Palatino Linotype" w:cs="Times New Roman"/>
          <w:lang w:val="tr"/>
        </w:rPr>
        <w:t xml:space="preserve">adeta TCK’nın örgüt üyeliği ile ilgili 314/2. </w:t>
      </w:r>
      <w:r w:rsidR="00924F0F" w:rsidRPr="00C47AC0">
        <w:rPr>
          <w:rFonts w:ascii="Palatino Linotype" w:hAnsi="Palatino Linotype" w:cs="Times New Roman"/>
          <w:lang w:val="tr"/>
        </w:rPr>
        <w:t>m</w:t>
      </w:r>
      <w:r w:rsidRPr="00C47AC0">
        <w:rPr>
          <w:rFonts w:ascii="Palatino Linotype" w:hAnsi="Palatino Linotype" w:cs="Times New Roman"/>
          <w:lang w:val="tr"/>
        </w:rPr>
        <w:t xml:space="preserve">addesinin bir unsuruymuş gibi değerlendirilen ByLock uygulamasını kullanmanın ve yine faaliyet icra ettikleri dönemde yasal olan Bank Asya’da hesap sahibi olunması ve yine yasal bir dernek ve sendikada üye olunması hususlarının terör örgütü üyeliği suç unsuru haline getirilmesi, Bylock verilerinin başvuran ile paylaşılmaması, </w:t>
      </w:r>
      <w:r w:rsidR="00C61BA4" w:rsidRPr="00C47AC0">
        <w:rPr>
          <w:rFonts w:ascii="Palatino Linotype" w:hAnsi="Palatino Linotype" w:cs="Times New Roman"/>
          <w:lang w:val="tr"/>
        </w:rPr>
        <w:t xml:space="preserve">verilerin güvenilirliğine ilişkin şüphelerin giderilmesi noktasında açıklama yapılmaması, </w:t>
      </w:r>
      <w:r w:rsidRPr="00C47AC0">
        <w:rPr>
          <w:rFonts w:ascii="Palatino Linotype" w:hAnsi="Palatino Linotype" w:cs="Times New Roman"/>
          <w:lang w:val="tr"/>
        </w:rPr>
        <w:t xml:space="preserve">silahların eşitliği ve çelişmeli yargılama hakkının sağlanmaması, dernek ve sendika üyeliklerin sözleşmede korunan temel hak ve yasal olması, tüm bu haklar kullanılırken hukuk ve yasaya güvenilmesi ve gelecekte bunlardan dolayı </w:t>
      </w:r>
      <w:proofErr w:type="spellStart"/>
      <w:r w:rsidRPr="00C47AC0">
        <w:rPr>
          <w:rFonts w:ascii="Palatino Linotype" w:hAnsi="Palatino Linotype" w:cs="Times New Roman"/>
          <w:lang w:val="tr"/>
        </w:rPr>
        <w:t>suçlan</w:t>
      </w:r>
      <w:r w:rsidR="00F508CA" w:rsidRPr="00C47AC0">
        <w:rPr>
          <w:rFonts w:ascii="Palatino Linotype" w:hAnsi="Palatino Linotype" w:cs="Times New Roman"/>
          <w:lang w:val="tr"/>
        </w:rPr>
        <w:t>ı</w:t>
      </w:r>
      <w:r w:rsidRPr="00C47AC0">
        <w:rPr>
          <w:rFonts w:ascii="Palatino Linotype" w:hAnsi="Palatino Linotype" w:cs="Times New Roman"/>
          <w:lang w:val="tr"/>
        </w:rPr>
        <w:t>lacağının</w:t>
      </w:r>
      <w:proofErr w:type="spellEnd"/>
      <w:r w:rsidRPr="00C47AC0">
        <w:rPr>
          <w:rFonts w:ascii="Palatino Linotype" w:hAnsi="Palatino Linotype" w:cs="Times New Roman"/>
          <w:lang w:val="tr"/>
        </w:rPr>
        <w:t xml:space="preserve"> öngörülmemesi</w:t>
      </w:r>
      <w:r w:rsidR="0099678B" w:rsidRPr="00C47AC0">
        <w:rPr>
          <w:rFonts w:ascii="Palatino Linotype" w:hAnsi="Palatino Linotype" w:cs="Times New Roman"/>
          <w:lang w:val="tr"/>
        </w:rPr>
        <w:t xml:space="preserve">, TCK’nın 314/2. maddesinin </w:t>
      </w:r>
      <w:r w:rsidR="0099678B" w:rsidRPr="00C47AC0">
        <w:rPr>
          <w:rFonts w:ascii="Palatino Linotype" w:hAnsi="Palatino Linotype" w:cs="Times New Roman"/>
          <w:iCs/>
          <w:lang w:val="tr"/>
        </w:rPr>
        <w:t>yorumlanma şeklinin, bu hükmün kapsamını öngörülemeyen bir şekilde genişletmesi</w:t>
      </w:r>
      <w:r w:rsidR="00924F0F" w:rsidRPr="00C47AC0">
        <w:rPr>
          <w:rFonts w:ascii="Palatino Linotype" w:hAnsi="Palatino Linotype" w:cs="Times New Roman"/>
          <w:iCs/>
          <w:lang w:val="tr"/>
        </w:rPr>
        <w:t xml:space="preserve"> ve</w:t>
      </w:r>
      <w:r w:rsidR="0099678B" w:rsidRPr="00C47AC0">
        <w:rPr>
          <w:rFonts w:ascii="Palatino Linotype" w:hAnsi="Palatino Linotype" w:cs="Times New Roman"/>
          <w:iCs/>
          <w:lang w:val="tr"/>
        </w:rPr>
        <w:t xml:space="preserve"> keyfi müdahalelere karşı gerekli asgari korumayı sağlamaması</w:t>
      </w:r>
      <w:r w:rsidR="00C70A1B" w:rsidRPr="00C47AC0">
        <w:rPr>
          <w:rFonts w:ascii="Palatino Linotype" w:hAnsi="Palatino Linotype" w:cs="Times New Roman"/>
          <w:iCs/>
          <w:lang w:val="tr"/>
        </w:rPr>
        <w:t xml:space="preserve"> </w:t>
      </w:r>
      <w:r w:rsidRPr="00C47AC0">
        <w:rPr>
          <w:rFonts w:ascii="Palatino Linotype" w:hAnsi="Palatino Linotype" w:cs="Times New Roman"/>
          <w:lang w:val="tr"/>
        </w:rPr>
        <w:t>gibi nedenlerle anılan Sözleşme hükümlerinin ihlal edildiğine karar vermiştir.</w:t>
      </w:r>
    </w:p>
    <w:p w14:paraId="00B2CF28" w14:textId="6536BAEC" w:rsidR="00CA2C93" w:rsidRPr="00C47AC0" w:rsidRDefault="00CA2C93" w:rsidP="00CA2C93">
      <w:pPr>
        <w:spacing w:line="360" w:lineRule="auto"/>
        <w:jc w:val="both"/>
        <w:rPr>
          <w:rFonts w:ascii="Palatino Linotype" w:hAnsi="Palatino Linotype" w:cs="Times New Roman"/>
          <w:b/>
          <w:bCs/>
          <w:iCs/>
          <w:lang w:val="tr"/>
        </w:rPr>
      </w:pPr>
      <w:r w:rsidRPr="00C47AC0">
        <w:rPr>
          <w:rFonts w:ascii="Palatino Linotype" w:hAnsi="Palatino Linotype" w:cs="Times New Roman"/>
          <w:b/>
          <w:bCs/>
          <w:lang w:val="tr"/>
        </w:rPr>
        <w:t>B</w:t>
      </w:r>
      <w:proofErr w:type="gramStart"/>
      <w:r w:rsidRPr="00C47AC0">
        <w:rPr>
          <w:rFonts w:ascii="Palatino Linotype" w:hAnsi="Palatino Linotype" w:cs="Times New Roman"/>
          <w:b/>
          <w:bCs/>
          <w:lang w:val="tr"/>
        </w:rPr>
        <w:t xml:space="preserve">- </w:t>
      </w:r>
      <w:r w:rsidR="009C6702">
        <w:rPr>
          <w:rFonts w:ascii="Palatino Linotype" w:hAnsi="Palatino Linotype" w:cs="Times New Roman"/>
          <w:b/>
          <w:bCs/>
          <w:lang w:val="tr"/>
        </w:rPr>
        <w:t xml:space="preserve"> Hakkımdaki</w:t>
      </w:r>
      <w:proofErr w:type="gramEnd"/>
      <w:r w:rsidR="009C6702">
        <w:rPr>
          <w:rFonts w:ascii="Palatino Linotype" w:hAnsi="Palatino Linotype" w:cs="Times New Roman"/>
          <w:b/>
          <w:bCs/>
          <w:lang w:val="tr"/>
        </w:rPr>
        <w:t xml:space="preserve"> </w:t>
      </w:r>
      <w:r w:rsidRPr="00C47AC0">
        <w:rPr>
          <w:rFonts w:ascii="Palatino Linotype" w:hAnsi="Palatino Linotype" w:cs="Times New Roman"/>
          <w:b/>
          <w:bCs/>
          <w:lang w:val="tr"/>
        </w:rPr>
        <w:t>Suçlama Nedeniyle Aynı Olan Karardan Öne Çıkan İhlal Gerekçeleri</w:t>
      </w:r>
    </w:p>
    <w:p w14:paraId="3F39B437" w14:textId="444DC94D" w:rsidR="003B35EE" w:rsidRPr="00C47AC0" w:rsidRDefault="002B543A" w:rsidP="002B543A">
      <w:pPr>
        <w:spacing w:line="360" w:lineRule="auto"/>
        <w:contextualSpacing/>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a) </w:t>
      </w:r>
      <w:r w:rsidR="003B35EE" w:rsidRPr="00C47AC0">
        <w:rPr>
          <w:rFonts w:ascii="Palatino Linotype" w:eastAsia="Calibri" w:hAnsi="Palatino Linotype" w:cs="Times New Roman"/>
          <w:b/>
          <w:bCs/>
          <w:iCs/>
          <w:kern w:val="2"/>
          <w:lang w:val="tr"/>
          <w14:ligatures w14:val="standardContextual"/>
        </w:rPr>
        <w:t>AİHM’in Sözleşme’nin 7. Maddesi ile İlgili Tespitleri ve İhlal Gerekçesi</w:t>
      </w:r>
    </w:p>
    <w:p w14:paraId="23C36E43" w14:textId="1541C11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AİHS’nin</w:t>
      </w:r>
      <w:r w:rsidRPr="00C47AC0">
        <w:rPr>
          <w:rFonts w:ascii="Palatino Linotype" w:eastAsia="Calibri" w:hAnsi="Palatino Linotype" w:cs="Times New Roman"/>
          <w:iCs/>
          <w:kern w:val="2"/>
          <w:lang w:val="tr"/>
          <w14:ligatures w14:val="standardContextual"/>
        </w:rPr>
        <w:t xml:space="preserve"> 7/1. </w:t>
      </w:r>
      <w:r w:rsidR="00924F0F" w:rsidRPr="00C47AC0">
        <w:rPr>
          <w:rFonts w:ascii="Palatino Linotype" w:eastAsia="Calibri" w:hAnsi="Palatino Linotype" w:cs="Times New Roman"/>
          <w:iCs/>
          <w:kern w:val="2"/>
          <w:lang w:val="tr"/>
          <w14:ligatures w14:val="standardContextual"/>
        </w:rPr>
        <w:t>m</w:t>
      </w:r>
      <w:r w:rsidRPr="00C47AC0">
        <w:rPr>
          <w:rFonts w:ascii="Palatino Linotype" w:eastAsia="Calibri" w:hAnsi="Palatino Linotype" w:cs="Times New Roman"/>
          <w:iCs/>
          <w:kern w:val="2"/>
          <w:lang w:val="tr"/>
          <w14:ligatures w14:val="standardContextual"/>
        </w:rPr>
        <w:t xml:space="preserve">addesi şöyledir: </w:t>
      </w:r>
      <w:r w:rsidRPr="00C47AC0">
        <w:rPr>
          <w:rFonts w:ascii="Palatino Linotype" w:eastAsia="Calibri" w:hAnsi="Palatino Linotype" w:cs="Times New Roman"/>
          <w:i/>
          <w:iCs/>
          <w:kern w:val="2"/>
          <w:lang w:val="tr"/>
          <w14:ligatures w14:val="standardContextual"/>
        </w:rPr>
        <w:t xml:space="preserve">“Hiç kimse, işlendiği zaman ulusal veya uluslararası hukuka göre suç oluşturmayan bir eylem veya ihmalden dolayı suçlu bulunamaz. Aynı </w:t>
      </w:r>
      <w:r w:rsidR="00113171" w:rsidRPr="00C47AC0">
        <w:rPr>
          <w:rFonts w:ascii="Palatino Linotype" w:eastAsia="Calibri" w:hAnsi="Palatino Linotype" w:cs="Times New Roman"/>
          <w:i/>
          <w:iCs/>
          <w:kern w:val="2"/>
          <w:lang w:val="tr"/>
          <w14:ligatures w14:val="standardContextual"/>
        </w:rPr>
        <w:t>b</w:t>
      </w:r>
      <w:r w:rsidRPr="00C47AC0">
        <w:rPr>
          <w:rFonts w:ascii="Palatino Linotype" w:eastAsia="Calibri" w:hAnsi="Palatino Linotype" w:cs="Times New Roman"/>
          <w:i/>
          <w:iCs/>
          <w:kern w:val="2"/>
          <w:lang w:val="tr"/>
          <w14:ligatures w14:val="standardContextual"/>
        </w:rPr>
        <w:t>içimde, suçun işlendiği sırada uygulanabilir olan cezadan daha ağır bir ceza verilemez.”</w:t>
      </w:r>
    </w:p>
    <w:p w14:paraId="1B69C760" w14:textId="47548D6E"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AİHM’e</w:t>
      </w:r>
      <w:r w:rsidRPr="00C47AC0">
        <w:rPr>
          <w:rFonts w:ascii="Palatino Linotype" w:eastAsia="Calibri" w:hAnsi="Palatino Linotype" w:cs="Times New Roman"/>
          <w:iCs/>
          <w:kern w:val="2"/>
          <w:lang w:val="tr"/>
          <w14:ligatures w14:val="standardContextual"/>
        </w:rPr>
        <w:t xml:space="preserve"> göre, hukukun üstünlüğünün temel bir unsuru olan Sözleşme'nin 7. maddesinde yer alan güvence, Sözleşme'nin 15. maddesi uyarınca savaş veya diğer olağanüstü hallerde bu güvenceden herhangi bir sapmaya izin verilmemesinin de altını çizdiği gibi, Sözleşme'nin koruma sisteminde önemli bir yere sahiptir. Sözleşme, amacı ve hedefi doğrultusunda, keyfi kovuşturma, mahkûmiyet ve cezalandırmaya karşı etkili güvenceler sağlayacak şekilde</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yorumlanmalı ve uygulanmalıdır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237). </w:t>
      </w:r>
    </w:p>
    <w:p w14:paraId="441268D8" w14:textId="6D2ED56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lastRenderedPageBreak/>
        <w:t>Sözleşme'nin</w:t>
      </w:r>
      <w:r w:rsidRPr="00C47AC0">
        <w:rPr>
          <w:rFonts w:ascii="Palatino Linotype" w:eastAsia="Calibri" w:hAnsi="Palatino Linotype" w:cs="Times New Roman"/>
          <w:iCs/>
          <w:kern w:val="2"/>
          <w:lang w:val="tr"/>
          <w14:ligatures w14:val="standardContextual"/>
        </w:rPr>
        <w:t xml:space="preserve"> 7. maddesi, ceza hukukunun geriye dönük olarak sanığın aleyhine uygulanmasını yasaklamakla sınırlı değildir. Aynı zamanda, daha genel olarak, sadece yasanın bir suçu tanımlayabileceği ve bir ceza öngörebileceği ilkesini (nullum crimen, nulla poena sine lege) ve ceza hukukunun, örneğin kıyas yoluyla, bir sanığın aleyhine olacak şekilde geniş yorumlanmaması gerektiği ilkesini de içerir. Bu ilkelerden, bir suçun kanunda açıkça tanımlanmış olması gerektiği sonucu çıkmaktadır. Bu gereklilik, bireyin ilgili hükmün lafzından ve gerekirse mahkemelerin yorumundan, hangi eylem ve ihmallerin kendisini cezai olarak sorumlu kılacağını bilebildiği durumlarda yerine getirilmiş olur. 7. </w:t>
      </w:r>
      <w:r w:rsidR="00F508CA" w:rsidRPr="00C47AC0">
        <w:rPr>
          <w:rFonts w:ascii="Palatino Linotype" w:eastAsia="Calibri" w:hAnsi="Palatino Linotype" w:cs="Times New Roman"/>
          <w:iCs/>
          <w:kern w:val="2"/>
          <w:lang w:val="tr"/>
          <w14:ligatures w14:val="standardContextual"/>
        </w:rPr>
        <w:t>m</w:t>
      </w:r>
      <w:r w:rsidRPr="00C47AC0">
        <w:rPr>
          <w:rFonts w:ascii="Palatino Linotype" w:eastAsia="Calibri" w:hAnsi="Palatino Linotype" w:cs="Times New Roman"/>
          <w:iCs/>
          <w:kern w:val="2"/>
          <w:lang w:val="tr"/>
          <w14:ligatures w14:val="standardContextual"/>
        </w:rPr>
        <w:t>adde, özellikle</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erişilebilirlik ve öngörülebilirlik gibi niteliksel gereklilikleri ima etmektedir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238). </w:t>
      </w:r>
    </w:p>
    <w:p w14:paraId="114CFE70" w14:textId="60BD865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xml:space="preserve">, Terör örgütü kurmak suçundan Fetullah Gülen’in daha önce beraat etmesi, 2017 yılından önce kesinleşen bir mahkeme kararı olmaması karşısında, bir örgüt üyeliği suçundan </w:t>
      </w:r>
      <w:proofErr w:type="gramStart"/>
      <w:r w:rsidRPr="00C47AC0">
        <w:rPr>
          <w:rFonts w:ascii="Palatino Linotype" w:eastAsia="Calibri" w:hAnsi="Palatino Linotype" w:cs="Times New Roman"/>
          <w:iCs/>
          <w:kern w:val="2"/>
          <w:lang w:val="tr"/>
          <w14:ligatures w14:val="standardContextual"/>
        </w:rPr>
        <w:t>mahkumiyet</w:t>
      </w:r>
      <w:proofErr w:type="gramEnd"/>
      <w:r w:rsidRPr="00C47AC0">
        <w:rPr>
          <w:rFonts w:ascii="Palatino Linotype" w:eastAsia="Calibri" w:hAnsi="Palatino Linotype" w:cs="Times New Roman"/>
          <w:iCs/>
          <w:kern w:val="2"/>
          <w:lang w:val="tr"/>
          <w14:ligatures w14:val="standardContextual"/>
        </w:rPr>
        <w:t xml:space="preserve"> için “bilme ve isteme” manevi unsurunun özel olarak incelenmesine dikkat</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çekmiştir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253). </w:t>
      </w:r>
    </w:p>
    <w:p w14:paraId="51C9CB9A" w14:textId="25163E0C"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ilgili ulusal mahkeme kararlarında, ByLock kullanımının, başvuranın FETÖ/PDY'nin cebir ve şiddet kullanarak ulaşmayı amaçladığı terörist amaçlar taşıdığını bildiği sonucuna doğrudan nasıl yol açtığının anlamlı bir açıklama ile ortaya konulmadığını, özel kastın saptanmadığını ve hiyerarşisinin bir parçası olarak faaliyetlerine katılımın veya ulusal hukukun gerektirdiği şekilde örgütün fiili varlığına veya güçlenmesine başka herhangi bir somut maddi veya zihinsel katkıda bulunulduğunun izah edilmediğini saptamıştır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263).</w:t>
      </w:r>
    </w:p>
    <w:p w14:paraId="4594C6A2" w14:textId="6406033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xml:space="preserve">, yerel mahkemeler ve Hükümetin, ByLock kullanım tespitini </w:t>
      </w:r>
      <w:proofErr w:type="gramStart"/>
      <w:r w:rsidRPr="00C47AC0">
        <w:rPr>
          <w:rFonts w:ascii="Palatino Linotype" w:eastAsia="Calibri" w:hAnsi="Palatino Linotype" w:cs="Times New Roman"/>
          <w:iCs/>
          <w:kern w:val="2"/>
          <w:lang w:val="tr"/>
          <w14:ligatures w14:val="standardContextual"/>
        </w:rPr>
        <w:t>mahkumiyet</w:t>
      </w:r>
      <w:proofErr w:type="gramEnd"/>
      <w:r w:rsidRPr="00C47AC0">
        <w:rPr>
          <w:rFonts w:ascii="Palatino Linotype" w:eastAsia="Calibri" w:hAnsi="Palatino Linotype" w:cs="Times New Roman"/>
          <w:iCs/>
          <w:kern w:val="2"/>
          <w:lang w:val="tr"/>
          <w14:ligatures w14:val="standardContextual"/>
        </w:rPr>
        <w:t xml:space="preserve"> için tek</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başına yeterli olarak gördüğünü tespit etmiş</w:t>
      </w:r>
      <w:r w:rsidR="00113171" w:rsidRPr="00C47AC0">
        <w:rPr>
          <w:rFonts w:ascii="Palatino Linotype" w:eastAsia="Calibri" w:hAnsi="Palatino Linotype" w:cs="Times New Roman"/>
          <w:iCs/>
          <w:kern w:val="2"/>
          <w:lang w:val="tr"/>
          <w14:ligatures w14:val="standardContextual"/>
        </w:rPr>
        <w:t xml:space="preserve"> ve bu durumu eleştirmiştir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257).</w:t>
      </w:r>
    </w:p>
    <w:p w14:paraId="77952012" w14:textId="477733BF"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xml:space="preserve">, bu durumun silahlı terör örgütü üyeliği için aranan süreklilik, çeşitlilik ve yoğunluğa dayalı organik bir bağın kanıtlanması, </w:t>
      </w:r>
      <w:r w:rsidRPr="00C47AC0">
        <w:rPr>
          <w:rFonts w:ascii="Palatino Linotype" w:eastAsia="Calibri" w:hAnsi="Palatino Linotype" w:cs="Times New Roman"/>
          <w:b/>
          <w:bCs/>
          <w:iCs/>
          <w:kern w:val="2"/>
          <w:lang w:val="tr"/>
          <w14:ligatures w14:val="standardContextual"/>
        </w:rPr>
        <w:t>manevi unsurun saptanması unsurları ile uyuşmadığını</w:t>
      </w:r>
      <w:r w:rsidRPr="00C47AC0">
        <w:rPr>
          <w:rFonts w:ascii="Palatino Linotype" w:eastAsia="Calibri" w:hAnsi="Palatino Linotype" w:cs="Times New Roman"/>
          <w:iCs/>
          <w:kern w:val="2"/>
          <w:lang w:val="tr"/>
          <w14:ligatures w14:val="standardContextual"/>
        </w:rPr>
        <w:t xml:space="preserve"> belirlemiştir. </w:t>
      </w:r>
      <w:r w:rsidRPr="00C47AC0">
        <w:rPr>
          <w:rFonts w:ascii="Palatino Linotype" w:eastAsia="Calibri" w:hAnsi="Palatino Linotype" w:cs="Times New Roman"/>
          <w:b/>
          <w:bCs/>
          <w:iCs/>
          <w:kern w:val="2"/>
          <w:lang w:val="tr"/>
          <w14:ligatures w14:val="standardContextual"/>
        </w:rPr>
        <w:t xml:space="preserve">AİHM, silahlı terör örgütü üyeliğinin tüm gerekliliklerinin (gerekli kasıt dahil) yerine getirildiğini tespit etmeden, bu uygulamanın kullanıcısına etkili bir şekilde cezai sorumluluk yüklemenin Sözleşme'nin 7. Maddesine uymadığını, bu durumun, kişisel sorumluluk unsurunun tesis edilebileceği </w:t>
      </w:r>
      <w:r w:rsidR="009F0FBE" w:rsidRPr="00C47AC0">
        <w:rPr>
          <w:rFonts w:ascii="Palatino Linotype" w:eastAsia="Calibri" w:hAnsi="Palatino Linotype" w:cs="Times New Roman"/>
          <w:b/>
          <w:bCs/>
          <w:iCs/>
          <w:kern w:val="2"/>
          <w:lang w:val="tr"/>
          <w14:ligatures w14:val="standardContextual"/>
        </w:rPr>
        <w:t>manevi unsur</w:t>
      </w:r>
      <w:r w:rsidRPr="00C47AC0">
        <w:rPr>
          <w:rFonts w:ascii="Palatino Linotype" w:eastAsia="Calibri" w:hAnsi="Palatino Linotype" w:cs="Times New Roman"/>
          <w:b/>
          <w:bCs/>
          <w:iCs/>
          <w:kern w:val="2"/>
          <w:lang w:val="tr"/>
          <w14:ligatures w14:val="standardContextual"/>
        </w:rPr>
        <w:t xml:space="preserve"> olmaksızın cezalandırılmama hakkıyla da bağdaşmadığını vurgulamıştır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264).</w:t>
      </w:r>
    </w:p>
    <w:p w14:paraId="2EFC4FF8" w14:textId="4DCA46AE"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lastRenderedPageBreak/>
        <w:t>AİHM’e</w:t>
      </w:r>
      <w:r w:rsidRPr="00C47AC0">
        <w:rPr>
          <w:rFonts w:ascii="Palatino Linotype" w:eastAsia="Calibri" w:hAnsi="Palatino Linotype" w:cs="Times New Roman"/>
          <w:iCs/>
          <w:kern w:val="2"/>
          <w:lang w:val="tr"/>
          <w14:ligatures w14:val="standardContextual"/>
        </w:rPr>
        <w:t xml:space="preserve"> göre, </w:t>
      </w:r>
      <w:r w:rsidRPr="00C47AC0">
        <w:rPr>
          <w:rFonts w:ascii="Palatino Linotype" w:eastAsia="Calibri" w:hAnsi="Palatino Linotype" w:cs="Times New Roman"/>
          <w:b/>
          <w:bCs/>
          <w:iCs/>
          <w:kern w:val="2"/>
          <w:lang w:val="tr"/>
          <w14:ligatures w14:val="standardContextual"/>
        </w:rPr>
        <w:t>ByLock uygulaması hakkında, belirli bir sanığa ilişkin somut içerik veya diğer ilgili bilgiler olmaksızın, tüm kullanıcı tabanı için belirleyici sonuçlar çıkarmak sadece öngörülemez değil, aynı zamanda yasallık ilkesine ve bireysel cezai sorumluluğa da aykırıdır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265).</w:t>
      </w:r>
    </w:p>
    <w:p w14:paraId="2094B9A2" w14:textId="610588B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başvuran gibi ByLock kullanıcısı olduğu iddia edilen tüm kişilerin, yerel mahkemeler tarafından daha önce yorumlandığı ve uygulandığı şekliyle iç hukuk anlamında geçerli bir şekilde "silahlı terör örgütü üyesi" olarak değerlendirilebilecek kişiler olduğunun nasıl bu kadar kesin ve otomatik bir şekilde tespit edilebileceğini anlamakta </w:t>
      </w:r>
      <w:r w:rsidRPr="00C47AC0">
        <w:rPr>
          <w:rFonts w:ascii="Palatino Linotype" w:hAnsi="Palatino Linotype" w:cs="Times New Roman"/>
          <w:iCs/>
          <w:lang w:val="tr"/>
        </w:rPr>
        <w:t>zorlandığını</w:t>
      </w:r>
      <w:r w:rsidRPr="00C47AC0">
        <w:rPr>
          <w:rFonts w:ascii="Palatino Linotype" w:eastAsia="Calibri" w:hAnsi="Palatino Linotype" w:cs="Times New Roman"/>
          <w:iCs/>
          <w:kern w:val="2"/>
          <w:lang w:val="tr"/>
          <w14:ligatures w14:val="standardContextual"/>
        </w:rPr>
        <w:t xml:space="preserve"> belirtmiştir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266).</w:t>
      </w:r>
    </w:p>
    <w:p w14:paraId="04A23BD8" w14:textId="48F6796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w:t>
      </w:r>
      <w:r w:rsidRPr="00C47AC0">
        <w:rPr>
          <w:rFonts w:ascii="Palatino Linotype" w:eastAsia="Calibri" w:hAnsi="Palatino Linotype" w:cs="Times New Roman"/>
          <w:b/>
          <w:bCs/>
          <w:iCs/>
          <w:kern w:val="2"/>
          <w:lang w:val="tr"/>
          <w14:ligatures w14:val="standardContextual"/>
        </w:rPr>
        <w:t>ByLock kullanımının teknik olarak isnat edilen suçun fiili unsurunun bir parçası olmamasına rağmen, yerel mahkemelerin yorumunun uygulamada sadece ByLock kullanımını bilerek ve isteyerek silahlı bir terör örgütüne üye olmakla eşdeğer tutma etkisi</w:t>
      </w:r>
      <w:r w:rsidR="0000224F"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yarattığına dikkat çekmiştir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267). </w:t>
      </w:r>
    </w:p>
    <w:p w14:paraId="5EDE8597" w14:textId="2808AC7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w:t>
      </w:r>
      <w:r w:rsidRPr="00C47AC0">
        <w:rPr>
          <w:rFonts w:ascii="Palatino Linotype" w:eastAsia="Calibri" w:hAnsi="Palatino Linotype" w:cs="Times New Roman"/>
          <w:b/>
          <w:bCs/>
          <w:iCs/>
          <w:kern w:val="2"/>
          <w:lang w:val="tr"/>
          <w14:ligatures w14:val="standardContextual"/>
        </w:rPr>
        <w:t>ByLock kullanımının adeta suçun (TCK 314/2) unsuru haline getirilerek, usulünce bireyselleştirme yapılmadan verilen mahkumiyetin iç hukukun gerekliliklerine ve 7. madde kapsamındaki korumanın özünde yer alan yasallık ve öngörülebilirlik ilkelerine aykırı</w:t>
      </w:r>
      <w:r w:rsidR="0000224F"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b/>
          <w:bCs/>
          <w:iCs/>
          <w:lang w:val="tr"/>
        </w:rPr>
        <w:t>olduğuna</w:t>
      </w:r>
      <w:r w:rsidRPr="00C47AC0">
        <w:rPr>
          <w:rFonts w:ascii="Palatino Linotype" w:eastAsia="Calibri" w:hAnsi="Palatino Linotype" w:cs="Times New Roman"/>
          <w:b/>
          <w:bCs/>
          <w:iCs/>
          <w:kern w:val="2"/>
          <w:lang w:val="tr"/>
          <w14:ligatures w14:val="standardContextual"/>
        </w:rPr>
        <w:t xml:space="preserve"> karar vermiştir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267).</w:t>
      </w:r>
    </w:p>
    <w:p w14:paraId="19B7CD92" w14:textId="3EF43429"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ByLock kullanımına ilişkin olgusal bulgunun tek başına silahlı terör örgütüne üyelik suçunun kurucu unsurlarını oluşturduğunun düşünülmesini hak ihlali olarak</w:t>
      </w:r>
      <w:r w:rsidR="0000224F" w:rsidRPr="00C47AC0">
        <w:rPr>
          <w:rFonts w:ascii="Palatino Linotype" w:eastAsia="Calibri" w:hAnsi="Palatino Linotype" w:cs="Times New Roman"/>
          <w:iCs/>
          <w:kern w:val="2"/>
          <w:lang w:val="tr"/>
          <w14:ligatures w14:val="standardContextual"/>
        </w:rPr>
        <w:t xml:space="preserve"> </w:t>
      </w:r>
      <w:r w:rsidRPr="00C47AC0">
        <w:rPr>
          <w:rFonts w:ascii="Palatino Linotype" w:hAnsi="Palatino Linotype" w:cs="Times New Roman"/>
          <w:iCs/>
          <w:lang w:val="tr"/>
        </w:rPr>
        <w:t>değerlendirmiştir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268).</w:t>
      </w:r>
    </w:p>
    <w:p w14:paraId="3B561A1A" w14:textId="1D981AC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AİHM, Ayrıca, yerel mahkeme kararlarından ve Hükümet'in görüşlerinden, başvurana atfedilen diğer eylemlerin (Bank Asya’da hesap sahibi olması, dernek üyeliği) sonuç üzerinde çok sınırlı bir etkisi olduğunu, asıl </w:t>
      </w:r>
      <w:proofErr w:type="gramStart"/>
      <w:r w:rsidRPr="00C47AC0">
        <w:rPr>
          <w:rFonts w:ascii="Palatino Linotype" w:eastAsia="Calibri" w:hAnsi="Palatino Linotype" w:cs="Times New Roman"/>
          <w:b/>
          <w:bCs/>
          <w:iCs/>
          <w:kern w:val="2"/>
          <w:lang w:val="tr"/>
          <w14:ligatures w14:val="standardContextual"/>
        </w:rPr>
        <w:t>mahkumiyet</w:t>
      </w:r>
      <w:proofErr w:type="gramEnd"/>
      <w:r w:rsidRPr="00C47AC0">
        <w:rPr>
          <w:rFonts w:ascii="Palatino Linotype" w:eastAsia="Calibri" w:hAnsi="Palatino Linotype" w:cs="Times New Roman"/>
          <w:b/>
          <w:bCs/>
          <w:iCs/>
          <w:kern w:val="2"/>
          <w:lang w:val="tr"/>
          <w14:ligatures w14:val="standardContextual"/>
        </w:rPr>
        <w:t xml:space="preserve"> nedeninin ByLock olduğu</w:t>
      </w:r>
      <w:r w:rsidR="0000224F"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b/>
          <w:bCs/>
          <w:iCs/>
          <w:lang w:val="tr"/>
        </w:rPr>
        <w:t>değerlendirmesine</w:t>
      </w:r>
      <w:r w:rsidRPr="00C47AC0">
        <w:rPr>
          <w:rFonts w:ascii="Palatino Linotype" w:eastAsia="Calibri" w:hAnsi="Palatino Linotype" w:cs="Times New Roman"/>
          <w:b/>
          <w:bCs/>
          <w:iCs/>
          <w:kern w:val="2"/>
          <w:lang w:val="tr"/>
          <w14:ligatures w14:val="standardContextual"/>
        </w:rPr>
        <w:t xml:space="preserve"> dikkat çekmiştir (</w:t>
      </w:r>
      <w:r w:rsidR="005A714C"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268).</w:t>
      </w:r>
      <w:r w:rsidR="0000224F" w:rsidRPr="00C47AC0">
        <w:rPr>
          <w:rFonts w:ascii="Palatino Linotype" w:eastAsia="Calibri" w:hAnsi="Palatino Linotype" w:cs="Times New Roman"/>
          <w:b/>
          <w:bCs/>
          <w:iCs/>
          <w:kern w:val="2"/>
          <w:lang w:val="tr"/>
          <w14:ligatures w14:val="standardContextual"/>
        </w:rPr>
        <w:t xml:space="preserve"> Aslında AİHM, bu yaklaşımı ile diğer delillerin zaten bir suç konusu oluşturmayacağına işaret etmiştir ki nitekim daha </w:t>
      </w:r>
      <w:r w:rsidR="002B543A" w:rsidRPr="00C47AC0">
        <w:rPr>
          <w:rFonts w:ascii="Palatino Linotype" w:eastAsia="Calibri" w:hAnsi="Palatino Linotype" w:cs="Times New Roman"/>
          <w:b/>
          <w:bCs/>
          <w:iCs/>
          <w:kern w:val="2"/>
          <w:lang w:val="tr"/>
          <w14:ligatures w14:val="standardContextual"/>
        </w:rPr>
        <w:t xml:space="preserve">önce </w:t>
      </w:r>
      <w:r w:rsidR="0000224F" w:rsidRPr="00C47AC0">
        <w:rPr>
          <w:rFonts w:ascii="Palatino Linotype" w:eastAsia="Calibri" w:hAnsi="Palatino Linotype" w:cs="Times New Roman"/>
          <w:b/>
          <w:bCs/>
          <w:iCs/>
          <w:kern w:val="2"/>
          <w:lang w:val="tr"/>
          <w14:ligatures w14:val="standardContextual"/>
        </w:rPr>
        <w:t>Taner Kılı</w:t>
      </w:r>
      <w:r w:rsidR="002B543A" w:rsidRPr="00C47AC0">
        <w:rPr>
          <w:rFonts w:ascii="Palatino Linotype" w:eastAsia="Calibri" w:hAnsi="Palatino Linotype" w:cs="Times New Roman"/>
          <w:b/>
          <w:bCs/>
          <w:iCs/>
          <w:kern w:val="2"/>
          <w:lang w:val="tr"/>
          <w14:ligatures w14:val="standardContextual"/>
        </w:rPr>
        <w:t>ç</w:t>
      </w:r>
      <w:r w:rsidR="0000224F" w:rsidRPr="00C47AC0">
        <w:rPr>
          <w:rFonts w:ascii="Palatino Linotype" w:eastAsia="Calibri" w:hAnsi="Palatino Linotype" w:cs="Times New Roman"/>
          <w:b/>
          <w:bCs/>
          <w:iCs/>
          <w:kern w:val="2"/>
          <w:lang w:val="tr"/>
          <w14:ligatures w14:val="standardContextual"/>
        </w:rPr>
        <w:t xml:space="preserve">, Alparslan Altan, Mehmet Altan vb birçok başvuruda delil diye sunulan çocuğunu okula gönderme, gazete aboneliği, </w:t>
      </w:r>
      <w:r w:rsidR="002B543A" w:rsidRPr="00C47AC0">
        <w:rPr>
          <w:rFonts w:ascii="Palatino Linotype" w:eastAsia="Calibri" w:hAnsi="Palatino Linotype" w:cs="Times New Roman"/>
          <w:b/>
          <w:bCs/>
          <w:iCs/>
          <w:kern w:val="2"/>
          <w:lang w:val="tr"/>
          <w14:ligatures w14:val="standardContextual"/>
        </w:rPr>
        <w:t xml:space="preserve">köşe yazısı yazma, medyada program yapma, </w:t>
      </w:r>
      <w:r w:rsidR="0000224F" w:rsidRPr="00C47AC0">
        <w:rPr>
          <w:rFonts w:ascii="Palatino Linotype" w:eastAsia="Calibri" w:hAnsi="Palatino Linotype" w:cs="Times New Roman"/>
          <w:b/>
          <w:bCs/>
          <w:iCs/>
          <w:kern w:val="2"/>
          <w:lang w:val="tr"/>
          <w14:ligatures w14:val="standardContextual"/>
        </w:rPr>
        <w:t>sosyal çevre vb hususlarda</w:t>
      </w:r>
      <w:r w:rsidR="002B543A" w:rsidRPr="00C47AC0">
        <w:rPr>
          <w:rFonts w:ascii="Palatino Linotype" w:eastAsia="Calibri" w:hAnsi="Palatino Linotype" w:cs="Times New Roman"/>
          <w:b/>
          <w:bCs/>
          <w:iCs/>
          <w:kern w:val="2"/>
          <w:lang w:val="tr"/>
          <w14:ligatures w14:val="standardContextual"/>
        </w:rPr>
        <w:t xml:space="preserve"> da ihlal tespiti yapmış ve Yalçınkaya dosyasında da bu anılan kararlara göndermede bulunmuştur.</w:t>
      </w:r>
      <w:r w:rsidR="0000224F" w:rsidRPr="00C47AC0">
        <w:rPr>
          <w:rFonts w:ascii="Palatino Linotype" w:eastAsia="Calibri" w:hAnsi="Palatino Linotype" w:cs="Times New Roman"/>
          <w:b/>
          <w:bCs/>
          <w:iCs/>
          <w:kern w:val="2"/>
          <w:lang w:val="tr"/>
          <w14:ligatures w14:val="standardContextual"/>
        </w:rPr>
        <w:t xml:space="preserve"> </w:t>
      </w:r>
    </w:p>
    <w:p w14:paraId="71343CE5" w14:textId="122D37E2"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Ceza Kanunu'nun 314</w:t>
      </w:r>
      <w:r w:rsidR="009F0FBE"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2</w:t>
      </w:r>
      <w:r w:rsidR="009F0FBE"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maddesi ve Terörle Mücadele Kanunu hükümlerinin nasıl uygulanması gerektiğine ilişkin bu öngörülemeyen ve geniş yorumun etkisinin, </w:t>
      </w:r>
      <w:r w:rsidRPr="00C47AC0">
        <w:rPr>
          <w:rFonts w:ascii="Palatino Linotype" w:eastAsia="Calibri" w:hAnsi="Palatino Linotype" w:cs="Times New Roman"/>
          <w:b/>
          <w:bCs/>
          <w:iCs/>
          <w:kern w:val="2"/>
          <w:lang w:val="tr"/>
          <w14:ligatures w14:val="standardContextual"/>
        </w:rPr>
        <w:lastRenderedPageBreak/>
        <w:t xml:space="preserve">yalnızca ByLock kullanımına dayalı neredeyse otomatik bir suç karinesi oluşturmak ve başvuranın kendisini suçlamalardan aklamasını neredeyse </w:t>
      </w:r>
      <w:proofErr w:type="gramStart"/>
      <w:r w:rsidRPr="00C47AC0">
        <w:rPr>
          <w:rFonts w:ascii="Palatino Linotype" w:eastAsia="Calibri" w:hAnsi="Palatino Linotype" w:cs="Times New Roman"/>
          <w:b/>
          <w:bCs/>
          <w:iCs/>
          <w:kern w:val="2"/>
          <w:lang w:val="tr"/>
          <w14:ligatures w14:val="standardContextual"/>
        </w:rPr>
        <w:t>imkansız</w:t>
      </w:r>
      <w:proofErr w:type="gramEnd"/>
      <w:r w:rsidRPr="00C47AC0">
        <w:rPr>
          <w:rFonts w:ascii="Palatino Linotype" w:eastAsia="Calibri" w:hAnsi="Palatino Linotype" w:cs="Times New Roman"/>
          <w:b/>
          <w:bCs/>
          <w:iCs/>
          <w:kern w:val="2"/>
          <w:lang w:val="tr"/>
          <w14:ligatures w14:val="standardContextual"/>
        </w:rPr>
        <w:t xml:space="preserve"> hale getirmek sonucunu doğurduğunu </w:t>
      </w:r>
      <w:r w:rsidRPr="00C47AC0">
        <w:rPr>
          <w:rFonts w:ascii="Palatino Linotype" w:hAnsi="Palatino Linotype" w:cs="Times New Roman"/>
          <w:b/>
          <w:bCs/>
          <w:iCs/>
          <w:lang w:val="tr"/>
        </w:rPr>
        <w:t>söylemiştir</w:t>
      </w:r>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w:t>
      </w:r>
      <w:r w:rsidR="00ED0C78"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242,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268).</w:t>
      </w:r>
    </w:p>
    <w:p w14:paraId="7C111B24" w14:textId="1CCC35C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Sözleşme’nin 7. Maddesinin, hiç kimsenin keyfi kovuşturmaya, mahkûmiyete veya cezalandırmaya maruz kalmamasını sağlamayı amaçladığını, suçun olgusal temeli ne olursa olsun, bu maddenin amaç ve hedefine uygun olarak hukuki kesinliğe ilişkin maddi</w:t>
      </w:r>
      <w:r w:rsidR="002B543A"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güvencelerin </w:t>
      </w:r>
      <w:r w:rsidRPr="00C47AC0">
        <w:rPr>
          <w:rFonts w:ascii="Palatino Linotype" w:hAnsi="Palatino Linotype" w:cs="Times New Roman"/>
          <w:iCs/>
          <w:lang w:val="tr"/>
        </w:rPr>
        <w:t>karşılanması</w:t>
      </w:r>
      <w:r w:rsidRPr="00C47AC0">
        <w:rPr>
          <w:rFonts w:ascii="Palatino Linotype" w:eastAsia="Calibri" w:hAnsi="Palatino Linotype" w:cs="Times New Roman"/>
          <w:iCs/>
          <w:kern w:val="2"/>
          <w:lang w:val="tr"/>
          <w14:ligatures w14:val="standardContextual"/>
        </w:rPr>
        <w:t xml:space="preserve"> gerektiğini vurgulamıştır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268).</w:t>
      </w:r>
    </w:p>
    <w:p w14:paraId="374B4152" w14:textId="4C20A44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hukukun üstünlüğü ilkesinin özünde yer alan ve sınırlandırılamaz bir hak olan Sözleşme'nin 7. maddesinde düzenlenen temel güvencelerin, ulusun yaşamını tehdit eden koşullarda işlendiği iddia edilse bile, terör suçlarının kovuşturulması ve cezalandırılması söz konusu olduğunda daha az katı bir şekilde uygulanabileceği anlamına gelmediğini vurgulamıştır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270).</w:t>
      </w:r>
    </w:p>
    <w:p w14:paraId="5D15A966" w14:textId="02C048E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Sözleşme, en zor koşullar da dahil olmak üzere, 7. madde güvencelerine riayet edilmesini </w:t>
      </w:r>
      <w:r w:rsidRPr="00C47AC0">
        <w:rPr>
          <w:rFonts w:ascii="Palatino Linotype" w:hAnsi="Palatino Linotype" w:cs="Times New Roman"/>
          <w:iCs/>
          <w:lang w:val="tr"/>
        </w:rPr>
        <w:t>gerektirmektedir</w:t>
      </w:r>
      <w:r w:rsidRPr="00C47AC0">
        <w:rPr>
          <w:rFonts w:ascii="Palatino Linotype" w:eastAsia="Calibri" w:hAnsi="Palatino Linotype" w:cs="Times New Roman"/>
          <w:iCs/>
          <w:kern w:val="2"/>
          <w:lang w:val="tr"/>
          <w14:ligatures w14:val="standardContextual"/>
        </w:rPr>
        <w:t xml:space="preserve">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270).</w:t>
      </w:r>
    </w:p>
    <w:p w14:paraId="23109A41" w14:textId="753DE329"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AİHM, ulusal mahkemeler tarafından, Ceza Kanunu ve Terörle Mücadele Kanunu'nun ilgili hükümlerinin geniş yorumlandığını, bu nedenle ByLock kullanımının silahlı terör örgütü üyeliği anlamına geldiğinin tespit edildiğini, başvuranın özel durumunda iç hukuktaki suçun yasal tanımı kapsamında gerekli olan bilgi ve kastın varlığının tespit edilmediğini, sadece ByLock kullanımına etkili bir şekilde objektif sorumluluk yüklendiğini belirlemiştir. </w:t>
      </w:r>
      <w:r w:rsidRPr="00C47AC0">
        <w:rPr>
          <w:rFonts w:ascii="Palatino Linotype" w:eastAsia="Calibri" w:hAnsi="Palatino Linotype" w:cs="Times New Roman"/>
          <w:iCs/>
          <w:kern w:val="2"/>
          <w:lang w:val="tr"/>
          <w14:ligatures w14:val="standardContextual"/>
        </w:rPr>
        <w:t xml:space="preserve">Mahkeme, ulusal mahkemeler tarafından kanunun bu şekilde geniş ve öngörülemez bir şekilde yorumlanmasının, suçun kurucu </w:t>
      </w:r>
      <w:proofErr w:type="gramStart"/>
      <w:r w:rsidRPr="00C47AC0">
        <w:rPr>
          <w:rFonts w:ascii="Palatino Linotype" w:eastAsia="Calibri" w:hAnsi="Palatino Linotype" w:cs="Times New Roman"/>
          <w:iCs/>
          <w:kern w:val="2"/>
          <w:lang w:val="tr"/>
          <w14:ligatures w14:val="standardContextual"/>
        </w:rPr>
        <w:t>unsurlarını -</w:t>
      </w:r>
      <w:proofErr w:type="gramEnd"/>
      <w:r w:rsidRPr="00C47AC0">
        <w:rPr>
          <w:rFonts w:ascii="Palatino Linotype" w:eastAsia="Calibri" w:hAnsi="Palatino Linotype" w:cs="Times New Roman"/>
          <w:iCs/>
          <w:kern w:val="2"/>
          <w:lang w:val="tr"/>
          <w14:ligatures w14:val="standardContextual"/>
        </w:rPr>
        <w:t xml:space="preserve"> özellikle de zihinsel unsurları - bir kenara bırakma ve bu suçu katı bir sorumluluk suçuna benzetme ve böylece iç hukukta açıkça belirtilen gerekliliklerden ayrılma etkisi yarattığı görüşündedir. Dolayısıyla suçun kapsamı, 7. maddenin amaç ve hedefine aykırı olarak, öngörülemeyen bir şekilde başvuranın aleyhine genişletilmiştir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271).</w:t>
      </w:r>
    </w:p>
    <w:p w14:paraId="7861A7E2" w14:textId="7B4BB9FE" w:rsidR="003B35EE" w:rsidRPr="00C47AC0" w:rsidRDefault="003B35EE" w:rsidP="00ED0C78">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Mahkeme, yukarıda belirtilenler ışığında, Sözleşme'nin 7. maddesinin ihlal edildiği sonucuna </w:t>
      </w:r>
      <w:r w:rsidRPr="00C47AC0">
        <w:rPr>
          <w:rFonts w:ascii="Palatino Linotype" w:hAnsi="Palatino Linotype" w:cs="Times New Roman"/>
          <w:iCs/>
          <w:lang w:val="tr"/>
        </w:rPr>
        <w:t>varmıştır</w:t>
      </w:r>
      <w:r w:rsidRPr="00C47AC0">
        <w:rPr>
          <w:rFonts w:ascii="Palatino Linotype" w:eastAsia="Calibri" w:hAnsi="Palatino Linotype" w:cs="Times New Roman"/>
          <w:iCs/>
          <w:kern w:val="2"/>
          <w:lang w:val="tr"/>
          <w14:ligatures w14:val="standardContextual"/>
        </w:rPr>
        <w:t xml:space="preserve">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272).</w:t>
      </w:r>
    </w:p>
    <w:p w14:paraId="55728CC0" w14:textId="4BC30418" w:rsidR="003B35EE" w:rsidRPr="00C47AC0" w:rsidRDefault="002B543A" w:rsidP="002B543A">
      <w:pPr>
        <w:spacing w:line="360" w:lineRule="auto"/>
        <w:contextualSpacing/>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b) </w:t>
      </w:r>
      <w:r w:rsidR="003B35EE" w:rsidRPr="00C47AC0">
        <w:rPr>
          <w:rFonts w:ascii="Palatino Linotype" w:eastAsia="Calibri" w:hAnsi="Palatino Linotype" w:cs="Times New Roman"/>
          <w:b/>
          <w:bCs/>
          <w:iCs/>
          <w:kern w:val="2"/>
          <w:lang w:val="tr"/>
          <w14:ligatures w14:val="standardContextual"/>
        </w:rPr>
        <w:t>AİHM’in Sözleşme’nin 6. Maddesi ile İlgili Tespitleri ve İhlal Gerekçesi</w:t>
      </w:r>
    </w:p>
    <w:p w14:paraId="0308536B" w14:textId="77777777" w:rsidR="003E157F" w:rsidRPr="00C47AC0" w:rsidRDefault="003B35EE" w:rsidP="00576B48">
      <w:pPr>
        <w:pStyle w:val="ListeParagraf"/>
        <w:numPr>
          <w:ilvl w:val="0"/>
          <w:numId w:val="2"/>
        </w:numPr>
        <w:tabs>
          <w:tab w:val="left" w:pos="3870"/>
        </w:tabs>
        <w:spacing w:line="360" w:lineRule="auto"/>
        <w:ind w:left="720" w:right="-378"/>
        <w:jc w:val="both"/>
        <w:rPr>
          <w:rFonts w:ascii="Palatino Linotype" w:eastAsia="Calibri" w:hAnsi="Palatino Linotype" w:cs="Times New Roman"/>
          <w:i/>
          <w:kern w:val="2"/>
          <w:lang w:val="tr"/>
          <w14:ligatures w14:val="standardContextual"/>
        </w:rPr>
      </w:pPr>
      <w:r w:rsidRPr="00C47AC0">
        <w:rPr>
          <w:rFonts w:ascii="Palatino Linotype" w:hAnsi="Palatino Linotype" w:cs="Times New Roman"/>
          <w:iCs/>
          <w:lang w:val="tr"/>
        </w:rPr>
        <w:t>Sözleşme'nin</w:t>
      </w:r>
      <w:r w:rsidRPr="00C47AC0">
        <w:rPr>
          <w:rFonts w:ascii="Palatino Linotype" w:eastAsia="Calibri" w:hAnsi="Palatino Linotype" w:cs="Times New Roman"/>
          <w:iCs/>
          <w:kern w:val="2"/>
          <w:lang w:val="tr"/>
          <w14:ligatures w14:val="standardContextual"/>
        </w:rPr>
        <w:t xml:space="preserve"> 6 § 1 maddesinin ilgili kısımları aşağıdaki gibidir:</w:t>
      </w:r>
    </w:p>
    <w:p w14:paraId="43FCD7F5" w14:textId="722F8C4B" w:rsidR="003B35EE" w:rsidRPr="00C47AC0" w:rsidRDefault="003B35EE" w:rsidP="003E157F">
      <w:pPr>
        <w:pStyle w:val="ListeParagraf"/>
        <w:tabs>
          <w:tab w:val="left" w:pos="3870"/>
        </w:tabs>
        <w:spacing w:line="360" w:lineRule="auto"/>
        <w:ind w:right="-378"/>
        <w:jc w:val="both"/>
        <w:rPr>
          <w:rFonts w:ascii="Palatino Linotype" w:eastAsia="Calibri" w:hAnsi="Palatino Linotype" w:cs="Times New Roman"/>
          <w:i/>
          <w:kern w:val="2"/>
          <w:lang w:val="tr"/>
          <w14:ligatures w14:val="standardContextual"/>
        </w:rPr>
      </w:pPr>
      <w:r w:rsidRPr="00C47AC0">
        <w:rPr>
          <w:rFonts w:ascii="Palatino Linotype" w:eastAsia="Calibri" w:hAnsi="Palatino Linotype" w:cs="Times New Roman"/>
          <w:i/>
          <w:kern w:val="2"/>
          <w:lang w:val="tr"/>
          <w14:ligatures w14:val="standardContextual"/>
        </w:rPr>
        <w:lastRenderedPageBreak/>
        <w:t>"Herkes, kendisine yöneltilen herhangi bir suç isnadının ... karara bağlanmasında, ... yasayla kurulmuş bir mahkeme tarafından ... adil bir ... duruşma yapılmasını isteme hakkına sahiptir. ..." (</w:t>
      </w:r>
      <w:r w:rsidR="00ED0C78" w:rsidRPr="00C47AC0">
        <w:rPr>
          <w:rFonts w:ascii="Palatino Linotype" w:eastAsia="Calibri" w:hAnsi="Palatino Linotype" w:cs="Times New Roman"/>
          <w:i/>
          <w:kern w:val="2"/>
          <w:lang w:val="tr"/>
          <w14:ligatures w14:val="standardContextual"/>
        </w:rPr>
        <w:t>§</w:t>
      </w:r>
      <w:r w:rsidRPr="00C47AC0">
        <w:rPr>
          <w:rFonts w:ascii="Palatino Linotype" w:eastAsia="Calibri" w:hAnsi="Palatino Linotype" w:cs="Times New Roman"/>
          <w:i/>
          <w:kern w:val="2"/>
          <w:lang w:val="tr"/>
          <w14:ligatures w14:val="standardContextual"/>
        </w:rPr>
        <w:t xml:space="preserve"> 274).</w:t>
      </w:r>
    </w:p>
    <w:p w14:paraId="55F5AD57" w14:textId="3FCDF7FE"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6. madde </w:t>
      </w:r>
      <w:proofErr w:type="gramStart"/>
      <w:r w:rsidRPr="00C47AC0">
        <w:rPr>
          <w:rFonts w:ascii="Palatino Linotype" w:eastAsia="Calibri" w:hAnsi="Palatino Linotype" w:cs="Times New Roman"/>
          <w:iCs/>
          <w:kern w:val="2"/>
          <w:lang w:val="tr"/>
          <w14:ligatures w14:val="standardContextual"/>
        </w:rPr>
        <w:t>kapsamındaki mevcut</w:t>
      </w:r>
      <w:proofErr w:type="gramEnd"/>
      <w:r w:rsidRPr="00C47AC0">
        <w:rPr>
          <w:rFonts w:ascii="Palatino Linotype" w:eastAsia="Calibri" w:hAnsi="Palatino Linotype" w:cs="Times New Roman"/>
          <w:iCs/>
          <w:kern w:val="2"/>
          <w:lang w:val="tr"/>
          <w14:ligatures w14:val="standardContextual"/>
        </w:rPr>
        <w:t xml:space="preserve"> incelemesinin amaçları doğrultusunda, itiraz edilen delilin (ByLock) gerçekten iç hukuk açısından yasal olarak elde edilip edilmediğini ve kabul edilebilir olup olmadığını ya da ulusal mahkemelerin ilgili delili değerlendirirken herhangi bir maddi hata yapıp yapmadığını belirlemenin gerekli olmadığını, görevinin, daha ziyade yargılamanın bir bütün olarak adilliğini değerlendirmek olduğunu vurgulamıştır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310). </w:t>
      </w:r>
    </w:p>
    <w:p w14:paraId="433A60E9" w14:textId="7C60FB13" w:rsidR="008E10E0"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b/>
          <w:bCs/>
          <w:iCs/>
          <w:lang w:val="tr"/>
        </w:rPr>
        <w:t>AİHM</w:t>
      </w:r>
      <w:r w:rsidRPr="00C47AC0">
        <w:rPr>
          <w:rFonts w:ascii="Palatino Linotype" w:eastAsia="Calibri" w:hAnsi="Palatino Linotype" w:cs="Times New Roman"/>
          <w:b/>
          <w:bCs/>
          <w:iCs/>
          <w:kern w:val="2"/>
          <w:lang w:val="tr"/>
          <w14:ligatures w14:val="standardContextual"/>
        </w:rPr>
        <w:t>, dava dosyasındaki bilgilerden, ulusal mahkemeler ve Hükümet tarafından MİT'in faaliyetlerinin yasal dayanağı olarak ileri sürülen İstihbarat Hizmetleri Kanunu'nun 4 (1) ve 6 (1) maddelerinin, bağımsız yetkilendirme veya gözetim de dahil olmak üzere, elektronik delillerin toplanmasıyla ilgili olarak CMK'nın 134. maddesinde belirtilenlere benzer usuli güvenceler öngörmediğine eleştiri getirmiştir.</w:t>
      </w:r>
      <w:r w:rsidR="008E10E0" w:rsidRPr="00C47AC0">
        <w:rPr>
          <w:rFonts w:ascii="Palatino Linotype" w:eastAsia="Calibri" w:hAnsi="Palatino Linotype" w:cs="Times New Roman"/>
          <w:iCs/>
          <w:kern w:val="2"/>
          <w:lang w:val="tr"/>
          <w14:ligatures w14:val="standardContextual"/>
        </w:rPr>
        <w:t xml:space="preserve">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008E10E0" w:rsidRPr="00C47AC0">
        <w:rPr>
          <w:rFonts w:ascii="Palatino Linotype" w:eastAsia="Calibri" w:hAnsi="Palatino Linotype" w:cs="Times New Roman"/>
          <w:iCs/>
          <w:kern w:val="2"/>
          <w:lang w:val="tr"/>
          <w14:ligatures w14:val="standardContextual"/>
        </w:rPr>
        <w:t>317).</w:t>
      </w:r>
      <w:r w:rsidRPr="00C47AC0">
        <w:rPr>
          <w:rFonts w:ascii="Palatino Linotype" w:eastAsia="Calibri" w:hAnsi="Palatino Linotype" w:cs="Times New Roman"/>
          <w:iCs/>
          <w:kern w:val="2"/>
          <w:lang w:val="tr"/>
          <w14:ligatures w14:val="standardContextual"/>
        </w:rPr>
        <w:t xml:space="preserve"> </w:t>
      </w:r>
      <w:r w:rsidR="003E157F" w:rsidRPr="00C47AC0">
        <w:rPr>
          <w:rFonts w:ascii="Palatino Linotype" w:eastAsia="Calibri" w:hAnsi="Palatino Linotype" w:cs="Times New Roman"/>
          <w:iCs/>
          <w:kern w:val="2"/>
          <w:lang w:val="tr"/>
          <w14:ligatures w14:val="standardContextual"/>
        </w:rPr>
        <w:t xml:space="preserve">AİHM’in MİT verilerinin güvenilirliğini sağlayan bağımsız bir adli denetim mekanizmasının olmaması ile ilgili tespiti oldukça önemli olup, </w:t>
      </w:r>
      <w:r w:rsidR="003E157F" w:rsidRPr="00C47AC0">
        <w:rPr>
          <w:rFonts w:ascii="Palatino Linotype" w:eastAsia="Calibri" w:hAnsi="Palatino Linotype" w:cs="Times New Roman"/>
          <w:i/>
          <w:kern w:val="2"/>
          <w:lang w:val="tr"/>
          <w14:ligatures w14:val="standardContextual"/>
        </w:rPr>
        <w:t xml:space="preserve">her ne kadar görevim değil diyerek AİHM bu tartışmaya girmekten kaçınmış ise </w:t>
      </w:r>
      <w:proofErr w:type="gramStart"/>
      <w:r w:rsidR="003E157F" w:rsidRPr="00C47AC0">
        <w:rPr>
          <w:rFonts w:ascii="Palatino Linotype" w:eastAsia="Calibri" w:hAnsi="Palatino Linotype" w:cs="Times New Roman"/>
          <w:i/>
          <w:kern w:val="2"/>
          <w:lang w:val="tr"/>
          <w14:ligatures w14:val="standardContextual"/>
        </w:rPr>
        <w:t>de,</w:t>
      </w:r>
      <w:proofErr w:type="gramEnd"/>
      <w:r w:rsidR="003E157F" w:rsidRPr="00C47AC0">
        <w:rPr>
          <w:rFonts w:ascii="Palatino Linotype" w:eastAsia="Calibri" w:hAnsi="Palatino Linotype" w:cs="Times New Roman"/>
          <w:iCs/>
          <w:kern w:val="2"/>
          <w:lang w:val="tr"/>
          <w14:ligatures w14:val="standardContextual"/>
        </w:rPr>
        <w:t xml:space="preserve"> </w:t>
      </w:r>
      <w:r w:rsidR="008E10E0" w:rsidRPr="00C47AC0">
        <w:rPr>
          <w:rFonts w:ascii="Palatino Linotype" w:eastAsia="Calibri" w:hAnsi="Palatino Linotype" w:cs="Times New Roman"/>
          <w:iCs/>
          <w:kern w:val="2"/>
          <w:lang w:val="tr"/>
          <w14:ligatures w14:val="standardContextual"/>
        </w:rPr>
        <w:t xml:space="preserve">bu nedenle de birçok ulusal kanuna ve mahkeme içtihadına göre istihbarı deliller adli delil olarak değerlendirilemez  </w:t>
      </w:r>
    </w:p>
    <w:p w14:paraId="4D07CC8E" w14:textId="3BE018A3" w:rsidR="003B35EE" w:rsidRPr="00C47AC0" w:rsidRDefault="00F95FC5"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w:t>
      </w:r>
      <w:r w:rsidR="003B35EE" w:rsidRPr="00C47AC0">
        <w:rPr>
          <w:rFonts w:ascii="Palatino Linotype" w:eastAsia="Calibri" w:hAnsi="Palatino Linotype" w:cs="Times New Roman"/>
          <w:iCs/>
          <w:kern w:val="2"/>
          <w:lang w:val="tr"/>
          <w14:ligatures w14:val="standardContextual"/>
        </w:rPr>
        <w:t xml:space="preserve">dava dosyasındaki hiçbir şey, Ankara </w:t>
      </w:r>
      <w:r w:rsidR="00ED0C78" w:rsidRPr="00C47AC0">
        <w:rPr>
          <w:rFonts w:ascii="Palatino Linotype" w:eastAsia="Calibri" w:hAnsi="Palatino Linotype" w:cs="Times New Roman"/>
          <w:iCs/>
          <w:kern w:val="2"/>
          <w:lang w:val="tr"/>
          <w14:ligatures w14:val="standardContextual"/>
        </w:rPr>
        <w:t>4.</w:t>
      </w:r>
      <w:r w:rsidR="003B35EE" w:rsidRPr="00C47AC0">
        <w:rPr>
          <w:rFonts w:ascii="Palatino Linotype" w:eastAsia="Calibri" w:hAnsi="Palatino Linotype" w:cs="Times New Roman"/>
          <w:iCs/>
          <w:kern w:val="2"/>
          <w:lang w:val="tr"/>
          <w14:ligatures w14:val="standardContextual"/>
        </w:rPr>
        <w:t xml:space="preserve"> Sulh Ceza Mahkemesi'nin ByLock verilerinin CMK'nın 134. maddesi uyarınca incelenmesine yönelik müteakip kararının, MİT'in veri toplama faaliyetinin </w:t>
      </w:r>
      <w:r w:rsidR="003B35EE" w:rsidRPr="00C47AC0">
        <w:rPr>
          <w:rFonts w:ascii="Palatino Linotype" w:eastAsia="Calibri" w:hAnsi="Palatino Linotype" w:cs="Times New Roman"/>
          <w:i/>
          <w:iCs/>
          <w:kern w:val="2"/>
          <w:lang w:val="tr"/>
          <w14:ligatures w14:val="standardContextual"/>
        </w:rPr>
        <w:t xml:space="preserve">post factum </w:t>
      </w:r>
      <w:r w:rsidR="003B35EE" w:rsidRPr="00C47AC0">
        <w:rPr>
          <w:rFonts w:ascii="Palatino Linotype" w:eastAsia="Calibri" w:hAnsi="Palatino Linotype" w:cs="Times New Roman"/>
          <w:iCs/>
          <w:kern w:val="2"/>
          <w:lang w:val="tr"/>
          <w14:ligatures w14:val="standardContextual"/>
        </w:rPr>
        <w:t xml:space="preserve">yargısal denetimini içerdiğini göstermemektedir. </w:t>
      </w:r>
      <w:r w:rsidR="003B35EE" w:rsidRPr="00C47AC0">
        <w:rPr>
          <w:rFonts w:ascii="Palatino Linotype" w:eastAsia="Calibri" w:hAnsi="Palatino Linotype" w:cs="Times New Roman"/>
          <w:b/>
          <w:bCs/>
          <w:iCs/>
          <w:kern w:val="2"/>
          <w:lang w:val="tr"/>
          <w14:ligatures w14:val="standardContextual"/>
        </w:rPr>
        <w:t>Bu temelde ve MİT'in ilgili verileri adli makamlara sunmadan önce aylarca tuttuğu göz önüne alındığında, Mahkeme, başvuranın ByLock verilerinin güvenilirliğine ilişkin şüphelerinin soyut veya temelsiz olarak kolayca göz ardı edilebileceği konusunda Hükümet ile aynı fikirde değildir.</w:t>
      </w:r>
      <w:r w:rsidR="003B35EE" w:rsidRPr="00C47AC0">
        <w:rPr>
          <w:rFonts w:ascii="Palatino Linotype" w:eastAsia="Calibri" w:hAnsi="Palatino Linotype" w:cs="Times New Roman"/>
          <w:iCs/>
          <w:kern w:val="2"/>
          <w:lang w:val="tr"/>
          <w14:ligatures w14:val="standardContextual"/>
        </w:rPr>
        <w:t xml:space="preserve"> Mahkeme, MİT veya adli makamlar tarafından bu şüpheleri gidermek için herhangi bir önlem alınıp alınmadığını inceleme</w:t>
      </w:r>
      <w:r w:rsidRPr="00C47AC0">
        <w:rPr>
          <w:rFonts w:ascii="Palatino Linotype" w:eastAsia="Calibri" w:hAnsi="Palatino Linotype" w:cs="Times New Roman"/>
          <w:iCs/>
          <w:kern w:val="2"/>
          <w:lang w:val="tr"/>
          <w14:ligatures w14:val="standardContextual"/>
        </w:rPr>
        <w:t>den</w:t>
      </w:r>
      <w:r w:rsidR="003B35EE" w:rsidRPr="00C47AC0">
        <w:rPr>
          <w:rFonts w:ascii="Palatino Linotype" w:eastAsia="Calibri" w:hAnsi="Palatino Linotype" w:cs="Times New Roman"/>
          <w:iCs/>
          <w:kern w:val="2"/>
          <w:lang w:val="tr"/>
          <w14:ligatures w14:val="standardContextual"/>
        </w:rPr>
        <w:t xml:space="preserve"> karar vermiştir </w:t>
      </w:r>
      <w:bookmarkStart w:id="0" w:name="_Hlk147072324"/>
      <w:r w:rsidR="003B35EE"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003B35EE" w:rsidRPr="00C47AC0">
        <w:rPr>
          <w:rFonts w:ascii="Palatino Linotype" w:eastAsia="Calibri" w:hAnsi="Palatino Linotype" w:cs="Times New Roman"/>
          <w:iCs/>
          <w:kern w:val="2"/>
          <w:lang w:val="tr"/>
          <w14:ligatures w14:val="standardContextual"/>
        </w:rPr>
        <w:t>317).</w:t>
      </w:r>
      <w:bookmarkEnd w:id="0"/>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AİHM’in ByLock verilerinin denetimsiz bir biçimde aylarca MİT’te tutulmasını güvenli bir kanıt olarak görmediği bu tespitler ile ortaya konulmuştur.</w:t>
      </w:r>
    </w:p>
    <w:p w14:paraId="3F3F3748" w14:textId="5E107F4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AİHM, </w:t>
      </w:r>
      <w:r w:rsidRPr="00C47AC0">
        <w:rPr>
          <w:rFonts w:ascii="Palatino Linotype" w:hAnsi="Palatino Linotype" w:cs="Times New Roman"/>
          <w:b/>
          <w:bCs/>
          <w:iCs/>
          <w:lang w:val="tr"/>
        </w:rPr>
        <w:t>ByLock</w:t>
      </w:r>
      <w:r w:rsidRPr="00C47AC0">
        <w:rPr>
          <w:rFonts w:ascii="Palatino Linotype" w:eastAsia="Calibri" w:hAnsi="Palatino Linotype" w:cs="Times New Roman"/>
          <w:b/>
          <w:bCs/>
          <w:iCs/>
          <w:kern w:val="2"/>
          <w:lang w:val="tr"/>
          <w14:ligatures w14:val="standardContextual"/>
        </w:rPr>
        <w:t xml:space="preserve"> verilerinin MİT tarafından alındığı koşulların, adli makamlara teslim edilene kadar bütünlüklerini sağlamaya yönelik özel usuli güvencelerin yokluğunda </w:t>
      </w:r>
      <w:r w:rsidRPr="005A714C">
        <w:rPr>
          <w:rFonts w:ascii="Palatino Linotype" w:eastAsia="Calibri" w:hAnsi="Palatino Linotype" w:cs="Times New Roman"/>
          <w:b/>
          <w:bCs/>
          <w:i/>
          <w:kern w:val="2"/>
          <w:lang w:val="tr"/>
          <w14:ligatures w14:val="standardContextual"/>
        </w:rPr>
        <w:lastRenderedPageBreak/>
        <w:t>"kaliteleri"</w:t>
      </w:r>
      <w:r w:rsidRPr="00C47AC0">
        <w:rPr>
          <w:rFonts w:ascii="Palatino Linotype" w:eastAsia="Calibri" w:hAnsi="Palatino Linotype" w:cs="Times New Roman"/>
          <w:b/>
          <w:bCs/>
          <w:iCs/>
          <w:kern w:val="2"/>
          <w:lang w:val="tr"/>
          <w14:ligatures w14:val="standardContextual"/>
        </w:rPr>
        <w:t xml:space="preserve"> konusunda </w:t>
      </w:r>
      <w:r w:rsidRPr="00C47AC0">
        <w:rPr>
          <w:rFonts w:ascii="Palatino Linotype" w:eastAsia="Calibri" w:hAnsi="Palatino Linotype" w:cs="Times New Roman"/>
          <w:b/>
          <w:bCs/>
          <w:i/>
          <w:iCs/>
          <w:kern w:val="2"/>
          <w:lang w:val="tr"/>
          <w14:ligatures w14:val="standardContextual"/>
        </w:rPr>
        <w:t xml:space="preserve">ilk bakışta </w:t>
      </w:r>
      <w:r w:rsidRPr="00C47AC0">
        <w:rPr>
          <w:rFonts w:ascii="Palatino Linotype" w:eastAsia="Calibri" w:hAnsi="Palatino Linotype" w:cs="Times New Roman"/>
          <w:b/>
          <w:bCs/>
          <w:iCs/>
          <w:kern w:val="2"/>
          <w:lang w:val="tr"/>
          <w14:ligatures w14:val="standardContextual"/>
        </w:rPr>
        <w:t>şüphe uyandırdığı kabul etmekle beraber, bu verilerin doğruluğunu sorgulamak için yeterli unsurlara sahip olmadığını belirtmiştir (</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323).</w:t>
      </w:r>
      <w:r w:rsidR="00F95FC5" w:rsidRPr="00C47AC0">
        <w:rPr>
          <w:rFonts w:ascii="Palatino Linotype" w:eastAsia="Calibri" w:hAnsi="Palatino Linotype" w:cs="Times New Roman"/>
          <w:b/>
          <w:bCs/>
          <w:iCs/>
          <w:kern w:val="2"/>
          <w:lang w:val="tr"/>
          <w14:ligatures w14:val="standardContextual"/>
        </w:rPr>
        <w:t xml:space="preserve"> Bu anlatım ile AİHM, hükümetin “bu deliller ve içerikleri doğrudur” tezini oluşan şüphe nedeniyle kabul etmeyeceğini </w:t>
      </w:r>
      <w:r w:rsidR="00FF529C" w:rsidRPr="00C47AC0">
        <w:rPr>
          <w:rFonts w:ascii="Palatino Linotype" w:eastAsia="Calibri" w:hAnsi="Palatino Linotype" w:cs="Times New Roman"/>
          <w:b/>
          <w:bCs/>
          <w:iCs/>
          <w:kern w:val="2"/>
          <w:lang w:val="tr"/>
          <w14:ligatures w14:val="standardContextual"/>
        </w:rPr>
        <w:t xml:space="preserve">vurgulamış ve hatta </w:t>
      </w:r>
      <w:r w:rsidR="00FF529C" w:rsidRPr="00C47AC0">
        <w:rPr>
          <w:rFonts w:ascii="Palatino Linotype" w:eastAsia="Calibri" w:hAnsi="Palatino Linotype" w:cs="Times New Roman"/>
          <w:b/>
          <w:bCs/>
          <w:i/>
          <w:kern w:val="2"/>
          <w:lang w:val="tr"/>
          <w14:ligatures w14:val="standardContextual"/>
        </w:rPr>
        <w:t>“ilk bakışta şüphe uyandırdığı”</w:t>
      </w:r>
      <w:r w:rsidR="00FF529C" w:rsidRPr="00C47AC0">
        <w:rPr>
          <w:rFonts w:ascii="Palatino Linotype" w:eastAsia="Calibri" w:hAnsi="Palatino Linotype" w:cs="Times New Roman"/>
          <w:b/>
          <w:bCs/>
          <w:iCs/>
          <w:kern w:val="2"/>
          <w:lang w:val="tr"/>
          <w14:ligatures w14:val="standardContextual"/>
        </w:rPr>
        <w:t xml:space="preserve"> tespiti ile ByLock delilini bir yönü ile şaibeli bulmuştur.</w:t>
      </w:r>
    </w:p>
    <w:p w14:paraId="77389ADF" w14:textId="32F33D9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xml:space="preserve">, Hükümet'in ByLock ile ilgili verilerin başvurana verilmemesini haklı çıkarmak için neden göstermediğini, başvurana ulusal mahkemeler tarafından </w:t>
      </w:r>
      <w:r w:rsidRPr="00C47AC0">
        <w:rPr>
          <w:rFonts w:ascii="Palatino Linotype" w:eastAsia="Calibri" w:hAnsi="Palatino Linotype" w:cs="Times New Roman"/>
          <w:b/>
          <w:bCs/>
          <w:iCs/>
          <w:kern w:val="2"/>
          <w:lang w:val="tr"/>
          <w14:ligatures w14:val="standardContextual"/>
        </w:rPr>
        <w:t>ham verilerin - özellikle de kendisini ilgilendirdiği ölçüde - neden ve kimin kararıyla kendisinden saklandığına</w:t>
      </w:r>
      <w:r w:rsidRPr="00C47AC0">
        <w:rPr>
          <w:rFonts w:ascii="Palatino Linotype" w:eastAsia="Calibri" w:hAnsi="Palatino Linotype" w:cs="Times New Roman"/>
          <w:iCs/>
          <w:kern w:val="2"/>
          <w:lang w:val="tr"/>
          <w14:ligatures w14:val="standardContextual"/>
        </w:rPr>
        <w:t xml:space="preserve"> dair hiçbir açıklama yapılmadığını, başvuranın verilerin dava dosyasına kabul edilmesi talebinin basitçe cevapsız kaldığını, </w:t>
      </w:r>
      <w:r w:rsidRPr="00C47AC0">
        <w:rPr>
          <w:rFonts w:ascii="Palatino Linotype" w:eastAsia="Calibri" w:hAnsi="Palatino Linotype" w:cs="Times New Roman"/>
          <w:b/>
          <w:bCs/>
          <w:iCs/>
          <w:kern w:val="2"/>
          <w:lang w:val="tr"/>
          <w14:ligatures w14:val="standardContextual"/>
        </w:rPr>
        <w:t xml:space="preserve">ByLock kullanıcı listelerinin nasıl oluşturulduğu ve bireysel ByLock kullanıcılarına ilişkin ham verilerin neden izole edilemediği </w:t>
      </w:r>
      <w:r w:rsidRPr="00C47AC0">
        <w:rPr>
          <w:rFonts w:ascii="Palatino Linotype" w:eastAsia="Calibri" w:hAnsi="Palatino Linotype" w:cs="Times New Roman"/>
          <w:iCs/>
          <w:kern w:val="2"/>
          <w:lang w:val="tr"/>
          <w14:ligatures w14:val="standardContextual"/>
        </w:rPr>
        <w:t>ve ilgili kullanıcılarla paylaşılamadığı konusunda daha fazla bilgi sağlayan tamamlayıcı analiz raporunun aleyhindeki ceza yargılamaları sırasında başvurana sunulmadığını not etmiştir. Mahkemeye göre başvuran, bu gerekçelerin geçerliliğine itiraz etmek ya da çatışan menfaatler arasında adil bir denge kurmak ve savunma haklarını güvence altına almak için her türlü çabanın gösterildiğine itiraz etmek gibi herhangi bir karşı argüman sunma fırsatından mahrum bırakılmıştır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331). </w:t>
      </w:r>
    </w:p>
    <w:p w14:paraId="519A556C" w14:textId="49B0A27D"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başvuranın ham verilerin içeriğinin ve bütünlüğünün doğrulanması için bağımsız bir incelemeye sunulması talebinin de ulusal mahkemeler tarafından dikkate alınmadığını</w:t>
      </w:r>
      <w:r w:rsidR="00FF529C"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kaydetmiştir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332).</w:t>
      </w:r>
    </w:p>
    <w:p w14:paraId="28CBE62E" w14:textId="59FA6C4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ByLock kanıtlarının güvenilirliğine ilişkin başvuranın endişelerine aşağıdaki tespitler ile katılmıştır: </w:t>
      </w:r>
      <w:r w:rsidRPr="00C47AC0">
        <w:rPr>
          <w:rFonts w:ascii="Palatino Linotype" w:eastAsia="Calibri" w:hAnsi="Palatino Linotype" w:cs="Times New Roman"/>
          <w:b/>
          <w:bCs/>
          <w:iCs/>
          <w:kern w:val="2"/>
          <w:lang w:val="tr"/>
          <w14:ligatures w14:val="standardContextual"/>
        </w:rPr>
        <w:t>Mahkeme, MİT tarafından yayınlanan farklı ByLock kullanıcı listeleri arasındaki tutarsızlığın yanı sıra tespit edilen ve nihayetinde kovuşturulan kullanıcı sayısı ile indirme sayısı arasındaki tutarsızlık gibi hususların ulusal mahkemeler tarafından cevapsız bırakıldığını saptamıştır.</w:t>
      </w:r>
      <w:r w:rsidRPr="00C47AC0">
        <w:rPr>
          <w:rFonts w:ascii="Palatino Linotype" w:eastAsia="Calibri" w:hAnsi="Palatino Linotype" w:cs="Times New Roman"/>
          <w:iCs/>
          <w:kern w:val="2"/>
          <w:lang w:val="tr"/>
          <w14:ligatures w14:val="standardContextual"/>
        </w:rPr>
        <w:t xml:space="preserve"> Mahkeme, ilke olarak, savunmanın delillere doğrudan erişememesi ve bunların doğruluğunu ve güvenilirliğini ilk elden test edememesinin, ulusal mahkemelere bu konuları en kapsamlı incelemeye tabi tutma konusunda daha fazla sorumluluk yüklediğini düşünmektedir. Bu bağlamda başvuran, ulusal mahkemeler önünde sürekli olarak, verilerin doğruluğunu ve bütünlüğünü sağlamak için çeşitli güvenceler öngören CMK'nın 134. maddesi uyarınca ByLock verilerinin toplanmadığını veya kendisiyle paylaşılmadığını savunmuş ve böylece </w:t>
      </w:r>
      <w:r w:rsidRPr="00C47AC0">
        <w:rPr>
          <w:rFonts w:ascii="Palatino Linotype" w:eastAsia="Calibri" w:hAnsi="Palatino Linotype" w:cs="Times New Roman"/>
          <w:iCs/>
          <w:kern w:val="2"/>
          <w:lang w:val="tr"/>
          <w14:ligatures w14:val="standardContextual"/>
        </w:rPr>
        <w:lastRenderedPageBreak/>
        <w:t xml:space="preserve">bu delillerin yalnızca hukuka uygunluğuna değil aynı zamanda güvenilirliğine de itiraz etmek durumunda kalmıştır. Ancak Mahkeme, veri toplama prosedürünün hukuka uygunluğunu teyit etmek ve başvuranın ByLock sunucusuyla bağlantı kurduğunu doğrulamak dışında, ulusal mahkemelerin sunucudan elde edilen verilerin bütünlüğünün her </w:t>
      </w:r>
      <w:proofErr w:type="gramStart"/>
      <w:r w:rsidRPr="00C47AC0">
        <w:rPr>
          <w:rFonts w:ascii="Palatino Linotype" w:eastAsia="Calibri" w:hAnsi="Palatino Linotype" w:cs="Times New Roman"/>
          <w:iCs/>
          <w:kern w:val="2"/>
          <w:lang w:val="tr"/>
          <w14:ligatures w14:val="standardContextual"/>
        </w:rPr>
        <w:t>açıdan -</w:t>
      </w:r>
      <w:proofErr w:type="gramEnd"/>
      <w:r w:rsidRPr="00C47AC0">
        <w:rPr>
          <w:rFonts w:ascii="Palatino Linotype" w:eastAsia="Calibri" w:hAnsi="Palatino Linotype" w:cs="Times New Roman"/>
          <w:iCs/>
          <w:kern w:val="2"/>
          <w:lang w:val="tr"/>
          <w14:ligatures w14:val="standardContextual"/>
        </w:rPr>
        <w:t xml:space="preserve"> yani başvuranın bireysel kullanımı meselesinin ötesinde - özellikle 9 Aralık 2016 tarihinde adli makamlara iletilmeden önceki dönemde nasıl sağlandığı konusuna değinmediklerini belirtmektedir. Bu konunun ele alındığı başka herhangi bir karara veya prosedüre de atıfta bulunmamışlardır. </w:t>
      </w:r>
      <w:r w:rsidRPr="00C47AC0">
        <w:rPr>
          <w:rFonts w:ascii="Palatino Linotype" w:eastAsia="Calibri" w:hAnsi="Palatino Linotype" w:cs="Times New Roman"/>
          <w:b/>
          <w:bCs/>
          <w:iCs/>
          <w:kern w:val="2"/>
          <w:lang w:val="tr"/>
          <w14:ligatures w14:val="standardContextual"/>
        </w:rPr>
        <w:t>Daha spesifik olarak, ByLock verilerinin MİT tarafından toplanması ile sulh ceza mahkemesinin bunların incelenmesine yönelik müteakip kararı arasında, ByLock verilerinin zaten işlenmiş olduğu ve yalnızca istihbarat amacıyla değil, aynı zamanda başvuran da dahil olmak üzere şüphelilerin soruşturulması ve tutuklanması için suç delili olarak kullanıldığı gerçeğini hesaba katmamışlardır.</w:t>
      </w:r>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 xml:space="preserve">MİT'in ceza yargılamalarında delil olarak kullanılmak üzere veri toplama yetkisinin bulunmadığı ve 9 Aralık 2016 tarihinde verilen mahkeme kararının bu şekilde toplanan delilleri geriye dönük olarak </w:t>
      </w:r>
      <w:r w:rsidRPr="00C47AC0">
        <w:rPr>
          <w:rFonts w:ascii="Palatino Linotype" w:eastAsia="Calibri" w:hAnsi="Palatino Linotype" w:cs="Times New Roman"/>
          <w:b/>
          <w:bCs/>
          <w:i/>
          <w:kern w:val="2"/>
          <w:lang w:val="tr"/>
          <w14:ligatures w14:val="standardContextual"/>
        </w:rPr>
        <w:t>"hukuka uygun"</w:t>
      </w:r>
      <w:r w:rsidRPr="00C47AC0">
        <w:rPr>
          <w:rFonts w:ascii="Palatino Linotype" w:eastAsia="Calibri" w:hAnsi="Palatino Linotype" w:cs="Times New Roman"/>
          <w:b/>
          <w:bCs/>
          <w:iCs/>
          <w:kern w:val="2"/>
          <w:lang w:val="tr"/>
          <w14:ligatures w14:val="standardContextual"/>
        </w:rPr>
        <w:t xml:space="preserve"> ve güvenilir kılamayacağı yönündeki iddiaları ne Ankara Bölge Adliye Mahkemesi ne de Yargıtay tarafından incelenmiştir</w:t>
      </w:r>
      <w:r w:rsidRPr="00C47AC0">
        <w:rPr>
          <w:rFonts w:ascii="Palatino Linotype" w:eastAsia="Calibri" w:hAnsi="Palatino Linotype" w:cs="Times New Roman"/>
          <w:iCs/>
          <w:kern w:val="2"/>
          <w:lang w:val="tr"/>
          <w14:ligatures w14:val="standardContextual"/>
        </w:rPr>
        <w:t xml:space="preserve"> (</w:t>
      </w:r>
      <w:proofErr w:type="gramStart"/>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334</w:t>
      </w:r>
      <w:proofErr w:type="gramEnd"/>
      <w:r w:rsidRPr="00C47AC0">
        <w:rPr>
          <w:rFonts w:ascii="Palatino Linotype" w:eastAsia="Calibri" w:hAnsi="Palatino Linotype" w:cs="Times New Roman"/>
          <w:iCs/>
          <w:kern w:val="2"/>
          <w:lang w:val="tr"/>
          <w14:ligatures w14:val="standardContextual"/>
        </w:rPr>
        <w:t>).</w:t>
      </w:r>
    </w:p>
    <w:p w14:paraId="314A334D" w14:textId="3CD4E584"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ham verilerin başvuranla paylaşılması mümkün olmasa </w:t>
      </w:r>
      <w:proofErr w:type="gramStart"/>
      <w:r w:rsidRPr="00C47AC0">
        <w:rPr>
          <w:rFonts w:ascii="Palatino Linotype" w:eastAsia="Calibri" w:hAnsi="Palatino Linotype" w:cs="Times New Roman"/>
          <w:iCs/>
          <w:kern w:val="2"/>
          <w:lang w:val="tr"/>
          <w14:ligatures w14:val="standardContextual"/>
        </w:rPr>
        <w:t>da,</w:t>
      </w:r>
      <w:proofErr w:type="gramEnd"/>
      <w:r w:rsidRPr="00C47AC0">
        <w:rPr>
          <w:rFonts w:ascii="Palatino Linotype" w:eastAsia="Calibri" w:hAnsi="Palatino Linotype" w:cs="Times New Roman"/>
          <w:iCs/>
          <w:kern w:val="2"/>
          <w:lang w:val="tr"/>
          <w14:ligatures w14:val="standardContextual"/>
        </w:rPr>
        <w:t xml:space="preserve"> taraflar arasındaki </w:t>
      </w:r>
      <w:r w:rsidRPr="00C47AC0">
        <w:rPr>
          <w:rFonts w:ascii="Palatino Linotype" w:eastAsia="Calibri" w:hAnsi="Palatino Linotype" w:cs="Times New Roman"/>
          <w:i/>
          <w:kern w:val="2"/>
          <w:lang w:val="tr"/>
          <w14:ligatures w14:val="standardContextual"/>
        </w:rPr>
        <w:t xml:space="preserve">"adil </w:t>
      </w:r>
      <w:r w:rsidRPr="00C47AC0">
        <w:rPr>
          <w:rFonts w:ascii="Palatino Linotype" w:hAnsi="Palatino Linotype" w:cs="Times New Roman"/>
          <w:i/>
          <w:lang w:val="tr"/>
        </w:rPr>
        <w:t>denge</w:t>
      </w:r>
      <w:r w:rsidRPr="00C47AC0">
        <w:rPr>
          <w:rFonts w:ascii="Palatino Linotype" w:eastAsia="Calibri" w:hAnsi="Palatino Linotype" w:cs="Times New Roman"/>
          <w:i/>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gerekliliği, en azından yargılamanın, başvuranın, özellikle bu uygulama üzerindeki faaliyetlerinin niteliği ve içeriği de dahil olmak üzere, kendisiyle ilgili deşifre edilen materyalin tamamı hakkında yorum yapmasına olanak tanıyacak şekilde yürütülmelidir. Ancak, başvuranın mahkumiyetinden sonra dosyaya veriler dahil edilmiş ve başvuranın bu verilerin yokluğuna ilişkin itirazları da Yargıtay tarafından reddedilmiştir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335).</w:t>
      </w:r>
    </w:p>
    <w:p w14:paraId="069EDA7B" w14:textId="16F120C5"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Mahkeme</w:t>
      </w:r>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savunmanın maruz kaldığı önyargının, ulusal mahkemelerin ByLock delillerine ilişkin gerekçelerindeki eksikliklerle daha da arttığı kanaatindedir.</w:t>
      </w:r>
      <w:r w:rsidRPr="00C47AC0">
        <w:rPr>
          <w:rFonts w:ascii="Palatino Linotype" w:eastAsia="Calibri" w:hAnsi="Palatino Linotype" w:cs="Times New Roman"/>
          <w:iCs/>
          <w:kern w:val="2"/>
          <w:lang w:val="tr"/>
          <w14:ligatures w14:val="standardContextual"/>
        </w:rPr>
        <w:t xml:space="preserve"> Başvuranın, savcılığın elindeki ByLock verilerine dayanarak bu iddialara doğrudan itiraz edemediği ölçüde, ulusal mahkemelerin bunları yeterli ve ilgili gerekçelerle desteklemesi ve başvuranın bunların doğruluğuna ilişkin itirazlarını ele alması birincil öneme sahip olduğu halde, mahkemeler bunu yapmadılar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337).</w:t>
      </w:r>
    </w:p>
    <w:p w14:paraId="17305B6E" w14:textId="260C89D3"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lastRenderedPageBreak/>
        <w:t xml:space="preserve">Mahkeme, </w:t>
      </w:r>
      <w:r w:rsidRPr="00C47AC0">
        <w:rPr>
          <w:rFonts w:ascii="Palatino Linotype" w:hAnsi="Palatino Linotype" w:cs="Times New Roman"/>
          <w:b/>
          <w:bCs/>
          <w:iCs/>
          <w:lang w:val="tr"/>
        </w:rPr>
        <w:t>başvuranın</w:t>
      </w:r>
      <w:r w:rsidRPr="00C47AC0">
        <w:rPr>
          <w:rFonts w:ascii="Palatino Linotype" w:eastAsia="Calibri" w:hAnsi="Palatino Linotype" w:cs="Times New Roman"/>
          <w:b/>
          <w:bCs/>
          <w:iCs/>
          <w:kern w:val="2"/>
          <w:lang w:val="tr"/>
          <w14:ligatures w14:val="standardContextual"/>
        </w:rPr>
        <w:t xml:space="preserve"> iç hukuk yargılamaları sırasında, ByLock uygulamasının 2016 yılının başlarına kadar - yani yaklaşık iki yıl boyunca - herhangi bir kontrol mekanizması olmaksızın halka açık uygulama mağazalarından veya sitelerinden indirilebildiğine dikkat çektiğini ve bunun münhasırlık argümanını zayıflattığını ve iddia edildiği gibi </w:t>
      </w:r>
      <w:r w:rsidRPr="00C47AC0">
        <w:rPr>
          <w:rFonts w:ascii="Palatino Linotype" w:eastAsia="Calibri" w:hAnsi="Palatino Linotype" w:cs="Times New Roman"/>
          <w:b/>
          <w:bCs/>
          <w:i/>
          <w:kern w:val="2"/>
          <w:lang w:val="tr"/>
          <w14:ligatures w14:val="standardContextual"/>
        </w:rPr>
        <w:t>"örgütsel amaçlar"</w:t>
      </w:r>
      <w:r w:rsidRPr="00C47AC0">
        <w:rPr>
          <w:rFonts w:ascii="Palatino Linotype" w:eastAsia="Calibri" w:hAnsi="Palatino Linotype" w:cs="Times New Roman"/>
          <w:b/>
          <w:bCs/>
          <w:iCs/>
          <w:kern w:val="2"/>
          <w:lang w:val="tr"/>
          <w14:ligatures w14:val="standardContextual"/>
        </w:rPr>
        <w:t xml:space="preserve"> için kullanılıp kullanılmadığını doğrulamak için iddia edilen her kullanıcı için bu uygulama üzerinden gerçekleştirilen belirli faaliyetlerin incelenmesi gerektirdiğini not etmiştir</w:t>
      </w:r>
      <w:r w:rsidRPr="00C47AC0">
        <w:rPr>
          <w:rFonts w:ascii="Palatino Linotype" w:eastAsia="Calibri" w:hAnsi="Palatino Linotype" w:cs="Times New Roman"/>
          <w:iCs/>
          <w:kern w:val="2"/>
          <w:lang w:val="tr"/>
          <w14:ligatures w14:val="standardContextual"/>
        </w:rPr>
        <w:t xml:space="preserve">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338).</w:t>
      </w:r>
    </w:p>
    <w:p w14:paraId="35304E06" w14:textId="69EBF54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ByLock kullanımının yalnızca belirli bir grupla sınırlandıracak nitelikte olmadığı, aslında yaygın olarak kullanılan birçok uygulamada bulunduğu, başvuranın ulusal mahkemeler önünde de dile getirdiği bir nokta olduğunu dosyadaki raporlarla kabul etmiştir (</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339).</w:t>
      </w:r>
      <w:r w:rsidR="00695C3D" w:rsidRPr="00C47AC0">
        <w:rPr>
          <w:rFonts w:ascii="Palatino Linotype" w:eastAsia="Calibri" w:hAnsi="Palatino Linotype" w:cs="Times New Roman"/>
          <w:b/>
          <w:bCs/>
          <w:iCs/>
          <w:kern w:val="2"/>
          <w:lang w:val="tr"/>
          <w14:ligatures w14:val="standardContextual"/>
        </w:rPr>
        <w:t xml:space="preserve"> AİHM’in bu tespiti, ByLock’un münhasıran Gülen Cemaati üyeleri tarafından kullanıldığı yönündeki Hükümet tezini ve yargı uygulamasını çürütmüştür.</w:t>
      </w:r>
    </w:p>
    <w:p w14:paraId="192E0576" w14:textId="6672ADB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b/>
          <w:bCs/>
          <w:iCs/>
          <w:lang w:val="tr"/>
        </w:rPr>
        <w:t>Mahkeme</w:t>
      </w:r>
      <w:r w:rsidRPr="00C47AC0">
        <w:rPr>
          <w:rFonts w:ascii="Palatino Linotype" w:eastAsia="Calibri" w:hAnsi="Palatino Linotype" w:cs="Times New Roman"/>
          <w:iCs/>
          <w:kern w:val="2"/>
          <w:lang w:val="tr"/>
          <w14:ligatures w14:val="standardContextual"/>
        </w:rPr>
        <w:t xml:space="preserve">, dönüm noktası niteliğindeki kararlarında Yargıtay da dâhil olmak üzere ulusal mahkemelerin, </w:t>
      </w:r>
      <w:r w:rsidRPr="00C47AC0">
        <w:rPr>
          <w:rFonts w:ascii="Palatino Linotype" w:eastAsia="Calibri" w:hAnsi="Palatino Linotype" w:cs="Times New Roman"/>
          <w:b/>
          <w:bCs/>
          <w:iCs/>
          <w:kern w:val="2"/>
          <w:lang w:val="tr"/>
          <w14:ligatures w14:val="standardContextual"/>
        </w:rPr>
        <w:t>ByLock'un münhasır ve örgütsel olduğu iddiasına ilişkin olarak öncelikle MİT tarafından yapılan tespitleri yargılama dışı bir bağlamda kabul ettiklerini ve bu tespitleri derinlemesine incelemediklerini kaydetmiştir</w:t>
      </w:r>
      <w:r w:rsidRPr="00C47AC0">
        <w:rPr>
          <w:rFonts w:ascii="Palatino Linotype" w:eastAsia="Calibri" w:hAnsi="Palatino Linotype" w:cs="Times New Roman"/>
          <w:iCs/>
          <w:kern w:val="2"/>
          <w:lang w:val="tr"/>
          <w14:ligatures w14:val="standardContextual"/>
        </w:rPr>
        <w:t xml:space="preserve">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340).</w:t>
      </w:r>
      <w:r w:rsidR="00746227" w:rsidRPr="00C47AC0">
        <w:rPr>
          <w:rFonts w:ascii="Palatino Linotype" w:eastAsia="Calibri" w:hAnsi="Palatino Linotype" w:cs="Times New Roman"/>
          <w:iCs/>
          <w:kern w:val="2"/>
          <w:lang w:val="tr"/>
          <w14:ligatures w14:val="standardContextual"/>
        </w:rPr>
        <w:t xml:space="preserve"> AİHM, bu tespit ile MİT verilerinin bir mahkeme denetimi olmadan kayıtsız kabulünü ihlal nedeni saymıştır.</w:t>
      </w:r>
    </w:p>
    <w:p w14:paraId="15944C12" w14:textId="10A54342"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Mahkeme, yukarıda belirtilenler ışığında, başvuranın aleyhindeki delillere itiraz etme ve savunmasını etkili bir şekilde ve iddia makamıyla eşit bir şekilde yürütme fırsatına sahip olmasını sağlamak için yeterli güvencelerin bulunmadığı kanaatine varmıştır.  Ayrıca, ulusal mahkemelerin başvuranın özel ve ilgili taleplerine ve itirazlarına cevap vermemesi, savunma argümanlarına karşı duyarsız oldukları ve başvuranın gerçekten </w:t>
      </w:r>
      <w:r w:rsidRPr="00C47AC0">
        <w:rPr>
          <w:rFonts w:ascii="Palatino Linotype" w:eastAsia="Calibri" w:hAnsi="Palatino Linotype" w:cs="Times New Roman"/>
          <w:i/>
          <w:kern w:val="2"/>
          <w:lang w:val="tr"/>
          <w14:ligatures w14:val="standardContextual"/>
        </w:rPr>
        <w:t>"dinlenmediği"</w:t>
      </w:r>
      <w:r w:rsidRPr="00C47AC0">
        <w:rPr>
          <w:rFonts w:ascii="Palatino Linotype" w:eastAsia="Calibri" w:hAnsi="Palatino Linotype" w:cs="Times New Roman"/>
          <w:iCs/>
          <w:kern w:val="2"/>
          <w:lang w:val="tr"/>
          <w14:ligatures w14:val="standardContextual"/>
        </w:rPr>
        <w:t xml:space="preserve"> konusunda meşru bir şüphe uyandırmıştır. Usulüne uygun olarak gerekçelendirilmiş kararların adaletin düzgün bir şekilde yerine getirilmesi açısından taşıdığı önem göz önünde bulundurulduğunda, ulusal mahkemelerin davanın özüne ilişkin hayati konularda sessiz kalması, başvuranın, mahkemelerin bulgularına ve ceza yargılamasının </w:t>
      </w:r>
      <w:r w:rsidRPr="00C47AC0">
        <w:rPr>
          <w:rFonts w:ascii="Palatino Linotype" w:eastAsia="Calibri" w:hAnsi="Palatino Linotype" w:cs="Times New Roman"/>
          <w:i/>
          <w:kern w:val="2"/>
          <w:lang w:val="tr"/>
          <w14:ligatures w14:val="standardContextual"/>
        </w:rPr>
        <w:t>"sadece şekil yönünden"</w:t>
      </w:r>
      <w:r w:rsidRPr="00C47AC0">
        <w:rPr>
          <w:rFonts w:ascii="Palatino Linotype" w:eastAsia="Calibri" w:hAnsi="Palatino Linotype" w:cs="Times New Roman"/>
          <w:iCs/>
          <w:kern w:val="2"/>
          <w:lang w:val="tr"/>
          <w14:ligatures w14:val="standardContextual"/>
        </w:rPr>
        <w:t xml:space="preserve"> yürütülmesine ilişkin haklı endişeler duymasına yol açmıştır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341).</w:t>
      </w:r>
    </w:p>
    <w:p w14:paraId="75371DF6" w14:textId="5E5A4549"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w:t>
      </w:r>
      <w:r w:rsidRPr="00C47AC0">
        <w:rPr>
          <w:rFonts w:ascii="Palatino Linotype" w:hAnsi="Palatino Linotype" w:cs="Times New Roman"/>
          <w:iCs/>
          <w:lang w:val="tr"/>
        </w:rPr>
        <w:t>göre</w:t>
      </w:r>
      <w:r w:rsidRPr="00C47AC0">
        <w:rPr>
          <w:rFonts w:ascii="Palatino Linotype" w:eastAsia="Calibri" w:hAnsi="Palatino Linotype" w:cs="Times New Roman"/>
          <w:iCs/>
          <w:kern w:val="2"/>
          <w:lang w:val="tr"/>
          <w14:ligatures w14:val="standardContextual"/>
        </w:rPr>
        <w:t>, adaletin adil bir şekilde yerine getirilmesi hakkı, demokratik bir toplumda, yarar uğruna feda edilemeyecek kadar önemli bir yere sahiptir ve elde edilen deliller, elektronik olsun ya da olmasın, ulusal mahkemeler tarafından adil yargılamanın temel ilkelerini zedeleyecek şekilde kullanılamaz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344).</w:t>
      </w:r>
    </w:p>
    <w:p w14:paraId="5E8554E3" w14:textId="08E60C2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lastRenderedPageBreak/>
        <w:t xml:space="preserve">Mahkeme, başvuranın </w:t>
      </w:r>
      <w:r w:rsidRPr="00C47AC0">
        <w:rPr>
          <w:rFonts w:ascii="Palatino Linotype" w:eastAsia="Calibri" w:hAnsi="Palatino Linotype" w:cs="Times New Roman"/>
          <w:b/>
          <w:bCs/>
          <w:iCs/>
          <w:kern w:val="2"/>
          <w:lang w:val="tr"/>
          <w14:ligatures w14:val="standardContextual"/>
        </w:rPr>
        <w:t>Bank Asya'da</w:t>
      </w:r>
      <w:r w:rsidRPr="00C47AC0">
        <w:rPr>
          <w:rFonts w:ascii="Palatino Linotype" w:eastAsia="Calibri" w:hAnsi="Palatino Linotype" w:cs="Times New Roman"/>
          <w:iCs/>
          <w:kern w:val="2"/>
          <w:lang w:val="tr"/>
          <w14:ligatures w14:val="standardContextual"/>
        </w:rPr>
        <w:t xml:space="preserve"> hesap açması, </w:t>
      </w:r>
      <w:r w:rsidRPr="00C47AC0">
        <w:rPr>
          <w:rFonts w:ascii="Palatino Linotype" w:eastAsia="Calibri" w:hAnsi="Palatino Linotype" w:cs="Times New Roman"/>
          <w:b/>
          <w:bCs/>
          <w:iCs/>
          <w:kern w:val="2"/>
          <w:lang w:val="tr"/>
          <w14:ligatures w14:val="standardContextual"/>
        </w:rPr>
        <w:t>sendika ve dernek üyeliği</w:t>
      </w:r>
      <w:r w:rsidRPr="00C47AC0">
        <w:rPr>
          <w:rFonts w:ascii="Palatino Linotype" w:eastAsia="Calibri" w:hAnsi="Palatino Linotype" w:cs="Times New Roman"/>
          <w:iCs/>
          <w:kern w:val="2"/>
          <w:lang w:val="tr"/>
          <w14:ligatures w14:val="standardContextual"/>
        </w:rPr>
        <w:t xml:space="preserve"> delillerinin, ByLock’u destekleyici delil olması ve sınırlı öneme sahip olması nedeniyle incelemeye gerek görmemiştir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242). Bununla birlikte, Mahkeme, ulusal mahkemelerin kararlarında, bu eylemlerin, tali bir şekilde bile olsa, nasıl suç teşkil eden bir davranışa delil olabileceğine dair anlamlı bir tartışmanın eksikliğine dikkat çekmiştir. Bu bağlamda, söz konusu </w:t>
      </w:r>
      <w:r w:rsidRPr="00C47AC0">
        <w:rPr>
          <w:rFonts w:ascii="Palatino Linotype" w:eastAsia="Calibri" w:hAnsi="Palatino Linotype" w:cs="Times New Roman"/>
          <w:b/>
          <w:bCs/>
          <w:iCs/>
          <w:kern w:val="2"/>
          <w:lang w:val="tr"/>
          <w14:ligatures w14:val="standardContextual"/>
        </w:rPr>
        <w:t>eylemlerin, gerçekleştirildikleri tarihte, yasallık karinesinden yararlanan görünüşte yasal eylemler olduğunu (bkz. Taner Kılıç, § 105) ve dahası, bir sendikaya ve bir derneğe üyelik söz konusu olduğunda, başvuranın Sözleşme'deki haklarını kullanmasıyla ilgili olduğunu gözlemlemiştir.</w:t>
      </w:r>
      <w:r w:rsidRPr="00C47AC0">
        <w:rPr>
          <w:rFonts w:ascii="Palatino Linotype" w:eastAsia="Calibri" w:hAnsi="Palatino Linotype" w:cs="Times New Roman"/>
          <w:iCs/>
          <w:kern w:val="2"/>
          <w:lang w:val="tr"/>
          <w14:ligatures w14:val="standardContextual"/>
        </w:rPr>
        <w:t xml:space="preserve"> Dolayısıyla ulusal mahkemelerin, bu eylemlerin başvuranın silahlı bir terör örgütüne üye olduğuna ilişkin bulguyu nasıl güçlendirdiğini açıklığa kavuşturması gerekmektedir. </w:t>
      </w:r>
      <w:r w:rsidRPr="00C47AC0">
        <w:rPr>
          <w:rFonts w:ascii="Palatino Linotype" w:eastAsia="Calibri" w:hAnsi="Palatino Linotype" w:cs="Times New Roman"/>
          <w:b/>
          <w:bCs/>
          <w:iCs/>
          <w:kern w:val="2"/>
          <w:lang w:val="tr"/>
          <w14:ligatures w14:val="standardContextual"/>
        </w:rPr>
        <w:t>Mahkeme, özellikle, başvuranın Bank Asya işlemlerini açıklamak için sunduğu açıklamanın ulusal mahkemeler tarafından hiçbir zaman doğrulanmadığını veya başka bir şekilde ele alınmadığını not etmiştir</w:t>
      </w:r>
      <w:r w:rsidRPr="00C47AC0">
        <w:rPr>
          <w:rFonts w:ascii="Palatino Linotype" w:eastAsia="Calibri" w:hAnsi="Palatino Linotype" w:cs="Times New Roman"/>
          <w:iCs/>
          <w:kern w:val="2"/>
          <w:lang w:val="tr"/>
          <w14:ligatures w14:val="standardContextual"/>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243).</w:t>
      </w:r>
    </w:p>
    <w:p w14:paraId="3C165F4F" w14:textId="729AF09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w:t>
      </w:r>
      <w:r w:rsidRPr="00C47AC0">
        <w:rPr>
          <w:rFonts w:ascii="Palatino Linotype" w:hAnsi="Palatino Linotype" w:cs="Times New Roman"/>
          <w:iCs/>
          <w:lang w:val="tr"/>
        </w:rPr>
        <w:t>söz</w:t>
      </w:r>
      <w:r w:rsidRPr="00C47AC0">
        <w:rPr>
          <w:rFonts w:ascii="Palatino Linotype" w:eastAsia="Calibri" w:hAnsi="Palatino Linotype" w:cs="Times New Roman"/>
          <w:iCs/>
          <w:kern w:val="2"/>
          <w:lang w:val="tr"/>
          <w14:ligatures w14:val="standardContextual"/>
        </w:rPr>
        <w:t xml:space="preserve"> konusu ceza yargılamalarının kendine has özelliklerine </w:t>
      </w:r>
      <w:proofErr w:type="gramStart"/>
      <w:r w:rsidRPr="00C47AC0">
        <w:rPr>
          <w:rFonts w:ascii="Palatino Linotype" w:eastAsia="Calibri" w:hAnsi="Palatino Linotype" w:cs="Times New Roman"/>
          <w:iCs/>
          <w:kern w:val="2"/>
          <w:lang w:val="tr"/>
          <w14:ligatures w14:val="standardContextual"/>
        </w:rPr>
        <w:t>rağmen -</w:t>
      </w:r>
      <w:proofErr w:type="gramEnd"/>
      <w:r w:rsidRPr="00C47AC0">
        <w:rPr>
          <w:rFonts w:ascii="Palatino Linotype" w:eastAsia="Calibri" w:hAnsi="Palatino Linotype" w:cs="Times New Roman"/>
          <w:iCs/>
          <w:kern w:val="2"/>
          <w:lang w:val="tr"/>
          <w14:ligatures w14:val="standardContextual"/>
        </w:rPr>
        <w:t xml:space="preserve"> hem yürütüldükleri bağlam hem de binlerce başka kişiyle ilgili yüksek miktarda şifrelenmiş elektronik veri içeren ana delillerin niteliği ve kapsamı açısından - ulusal mahkemelerin, başvuran aleyhindeki yargılamaların genel olarak adil olmasını sağlamak için yeterli önlemleri almaları gerekiyordu. Yukarıda belirtildiği gibi bunu yapmamışlardır. Mahkeme'nin görüşüne göre, ulusal mahkemelerin, başvuranın söz konusu delile etkili bir şekilde itiraz edebilmesi, davanın özünde yatan önemli meseleleri ele alabilmesi ve kararlarını gerekçelendirebilmesi için söz konusu delile karşı- karşılıklı olarak- uygun güvenceleri tesis etmemesi, başvuranın 6</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1</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maddesi kapsamındaki usuli haklarının özüyle bağdaşmamaktadır. Bu eksiklikler, demokratik bir toplumda mahkemelerin kamuoyunda uyandırması gereken güveni zedeleyici ve yargılamanın adilliğini ihlal edici etkilere sahiptir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345).</w:t>
      </w:r>
    </w:p>
    <w:p w14:paraId="3929FBAF" w14:textId="541A8C34" w:rsidR="003B35EE" w:rsidRPr="00C47AC0" w:rsidRDefault="003B35EE" w:rsidP="00CE3B84">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Mahkeme'nin görüşüne göre, yukarıda belirtilen hususlar, başvuran aleyhindeki ceza yargılamasının Sözleşme'nin 6</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1</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maddesini ihlal ederek adil yargılanma gerekliliklerini </w:t>
      </w:r>
      <w:r w:rsidRPr="00C47AC0">
        <w:rPr>
          <w:rFonts w:ascii="Palatino Linotype" w:hAnsi="Palatino Linotype" w:cs="Times New Roman"/>
          <w:iCs/>
          <w:lang w:val="tr"/>
        </w:rPr>
        <w:t>karşılamadığı</w:t>
      </w:r>
      <w:r w:rsidRPr="00C47AC0">
        <w:rPr>
          <w:rFonts w:ascii="Palatino Linotype" w:eastAsia="Calibri" w:hAnsi="Palatino Linotype" w:cs="Times New Roman"/>
          <w:iCs/>
          <w:kern w:val="2"/>
          <w:lang w:val="tr"/>
          <w14:ligatures w14:val="standardContextual"/>
        </w:rPr>
        <w:t xml:space="preserve"> sonucuna varmak için yeterlidir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346).</w:t>
      </w:r>
      <w:r w:rsidRPr="00C47AC0">
        <w:rPr>
          <w:rFonts w:ascii="Palatino Linotype" w:eastAsia="Times New Roman" w:hAnsi="Palatino Linotype" w:cs="Times New Roman"/>
          <w:lang w:val="tr" w:eastAsia="fr-CH"/>
        </w:rPr>
        <w:t xml:space="preserve"> </w:t>
      </w:r>
      <w:r w:rsidRPr="00C47AC0">
        <w:rPr>
          <w:rFonts w:ascii="Palatino Linotype" w:eastAsia="Calibri" w:hAnsi="Palatino Linotype" w:cs="Times New Roman"/>
          <w:iCs/>
          <w:kern w:val="2"/>
          <w:lang w:val="tr"/>
          <w14:ligatures w14:val="standardContextual"/>
        </w:rPr>
        <w:t>Mahkeme, yukarıdaki mülahazalar ışığında, mevcut davada Sözleşme'nin 6. maddesinin 1. fıkrasının ihlal edildiği sonucuna varmıştır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356).</w:t>
      </w:r>
    </w:p>
    <w:p w14:paraId="1AA94AE2" w14:textId="1995E7B3" w:rsidR="003B35EE" w:rsidRPr="00C47AC0" w:rsidRDefault="00CE3B84" w:rsidP="00E90F06">
      <w:pPr>
        <w:spacing w:line="360" w:lineRule="auto"/>
        <w:contextualSpacing/>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c</w:t>
      </w:r>
      <w:r w:rsidR="00E90F06" w:rsidRPr="00C47AC0">
        <w:rPr>
          <w:rFonts w:ascii="Palatino Linotype" w:eastAsia="Calibri" w:hAnsi="Palatino Linotype" w:cs="Times New Roman"/>
          <w:b/>
          <w:bCs/>
          <w:iCs/>
          <w:kern w:val="2"/>
          <w:lang w:val="tr"/>
          <w14:ligatures w14:val="standardContextual"/>
        </w:rPr>
        <w:t xml:space="preserve">) </w:t>
      </w:r>
      <w:r w:rsidR="003B35EE" w:rsidRPr="00C47AC0">
        <w:rPr>
          <w:rFonts w:ascii="Palatino Linotype" w:eastAsia="Calibri" w:hAnsi="Palatino Linotype" w:cs="Times New Roman"/>
          <w:b/>
          <w:bCs/>
          <w:iCs/>
          <w:kern w:val="2"/>
          <w:lang w:val="tr"/>
          <w14:ligatures w14:val="standardContextual"/>
        </w:rPr>
        <w:t>AİHM’in Sözleşme’nin 11. Maddesi ile İlgili Tespitleri ve İhlal Gerekçesi</w:t>
      </w:r>
    </w:p>
    <w:p w14:paraId="6BAA7F90" w14:textId="7777777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lastRenderedPageBreak/>
        <w:t>Sözleşme'nin</w:t>
      </w:r>
      <w:r w:rsidRPr="00C47AC0">
        <w:rPr>
          <w:rFonts w:ascii="Palatino Linotype" w:eastAsia="Calibri" w:hAnsi="Palatino Linotype" w:cs="Times New Roman"/>
          <w:iCs/>
          <w:kern w:val="2"/>
          <w:lang w:val="tr"/>
          <w14:ligatures w14:val="standardContextual"/>
        </w:rPr>
        <w:t xml:space="preserve"> 11/1. Maddesi aşağıdaki gibidir:</w:t>
      </w:r>
    </w:p>
    <w:p w14:paraId="06ECB1C0" w14:textId="77777777" w:rsidR="003B35EE" w:rsidRPr="00C47AC0" w:rsidRDefault="003B35EE" w:rsidP="003B35EE">
      <w:pPr>
        <w:spacing w:line="360" w:lineRule="auto"/>
        <w:ind w:left="720"/>
        <w:contextualSpacing/>
        <w:jc w:val="both"/>
        <w:rPr>
          <w:rFonts w:ascii="Palatino Linotype" w:eastAsia="Calibri" w:hAnsi="Palatino Linotype" w:cs="Times New Roman"/>
          <w:i/>
          <w:kern w:val="2"/>
          <w:lang w:val="tr"/>
          <w14:ligatures w14:val="standardContextual"/>
        </w:rPr>
      </w:pPr>
      <w:r w:rsidRPr="00C47AC0">
        <w:rPr>
          <w:rFonts w:ascii="Palatino Linotype" w:eastAsia="Calibri" w:hAnsi="Palatino Linotype" w:cs="Times New Roman"/>
          <w:i/>
          <w:kern w:val="2"/>
          <w:lang w:val="tr"/>
          <w14:ligatures w14:val="standardContextual"/>
        </w:rPr>
        <w:t>"Herkes, çıkarlarını korumak için sendika kurma ve sendikalara üye olma hakkı da dahil olmak üzere, barışçıl olarak toplanma ve başkalarıyla birlikte örgütlenme özgürlüğü hakkına sahiptir.”</w:t>
      </w:r>
    </w:p>
    <w:p w14:paraId="416BBEBC" w14:textId="76126031"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11. maddede belirtilen örgütlenme özgürlüğü hakkı, dernek kurma hakkını da içermektedir. Ortak bir menfaat alanında kolektif olarak hareket etmek amacıyla tüzel </w:t>
      </w:r>
      <w:r w:rsidRPr="00C47AC0">
        <w:rPr>
          <w:rFonts w:ascii="Palatino Linotype" w:hAnsi="Palatino Linotype" w:cs="Times New Roman"/>
          <w:iCs/>
          <w:lang w:val="tr"/>
        </w:rPr>
        <w:t>kişilik</w:t>
      </w:r>
      <w:r w:rsidRPr="00C47AC0">
        <w:rPr>
          <w:rFonts w:ascii="Palatino Linotype" w:eastAsia="Calibri" w:hAnsi="Palatino Linotype" w:cs="Times New Roman"/>
          <w:iCs/>
          <w:kern w:val="2"/>
          <w:lang w:val="tr"/>
          <w14:ligatures w14:val="standardContextual"/>
        </w:rPr>
        <w:t xml:space="preserve"> kurabilme, örgütlenme özgürlüğünün en önemli unsurlarından biridir ve bu hak olmaksızın herhangi bir anlam ifade etmeyecektir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385).</w:t>
      </w:r>
    </w:p>
    <w:p w14:paraId="5D80FDAC" w14:textId="05EF2534"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mahkumiyete konu sendika ve derneğin, darbe girişiminin ardından FETÖ/PDY ile </w:t>
      </w:r>
      <w:r w:rsidRPr="00C47AC0">
        <w:rPr>
          <w:rFonts w:ascii="Palatino Linotype" w:hAnsi="Palatino Linotype" w:cs="Times New Roman"/>
          <w:iCs/>
          <w:lang w:val="tr"/>
        </w:rPr>
        <w:t>bağlantılı</w:t>
      </w:r>
      <w:r w:rsidRPr="00C47AC0">
        <w:rPr>
          <w:rFonts w:ascii="Palatino Linotype" w:eastAsia="Calibri" w:hAnsi="Palatino Linotype" w:cs="Times New Roman"/>
          <w:iCs/>
          <w:kern w:val="2"/>
          <w:lang w:val="tr"/>
          <w14:ligatures w14:val="standardContextual"/>
        </w:rPr>
        <w:t xml:space="preserve"> oldukları gerekçesiyle 667 sayılı Kanun Hükmünde Kararname ile kapatılmadan önce yasal olarak kuruldukları ve faaliyet gösterdikleri, görünüşte Sözleşme'nin 11. maddesi kapsamına giren ve şiddeti teşvik etmeyen veya demokratik bir toplumun temellerini başka bir şekilde reddetmeyen eylemlerin yasallık karinesinden yararlanması gerektiğini vurgulamıştır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390).</w:t>
      </w:r>
      <w:r w:rsidRPr="00C47AC0">
        <w:rPr>
          <w:rFonts w:ascii="Palatino Linotype" w:eastAsia="Times New Roman" w:hAnsi="Palatino Linotype" w:cs="Times New Roman"/>
          <w:color w:val="000000"/>
          <w:lang w:val="tr" w:eastAsia="fr-CH"/>
        </w:rPr>
        <w:t xml:space="preserve"> Yerel </w:t>
      </w:r>
      <w:r w:rsidRPr="00C47AC0">
        <w:rPr>
          <w:rFonts w:ascii="Palatino Linotype" w:eastAsia="Calibri" w:hAnsi="Palatino Linotype" w:cs="Times New Roman"/>
          <w:iCs/>
          <w:kern w:val="2"/>
          <w:lang w:val="tr"/>
          <w14:ligatures w14:val="standardContextual"/>
        </w:rPr>
        <w:t>Mahkeme kararında, başvuranın bu yapılar içerisinde herhangi bir eylemde bulunup bulunmadığına ve eğer bulunmuşsa, bu eylemlerin niteliğinin ne olduğuna ilişkin herhangi bir açıklama da yer almamıştır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391).</w:t>
      </w:r>
      <w:r w:rsidRPr="00C47AC0">
        <w:rPr>
          <w:rFonts w:ascii="Palatino Linotype" w:eastAsia="Times New Roman" w:hAnsi="Palatino Linotype" w:cs="Times New Roman"/>
          <w:color w:val="000000"/>
          <w:lang w:val="tr" w:eastAsia="fr-CH"/>
        </w:rPr>
        <w:t xml:space="preserve"> </w:t>
      </w:r>
      <w:r w:rsidRPr="00C47AC0">
        <w:rPr>
          <w:rFonts w:ascii="Palatino Linotype" w:eastAsia="Calibri" w:hAnsi="Palatino Linotype" w:cs="Times New Roman"/>
          <w:iCs/>
          <w:kern w:val="2"/>
          <w:lang w:val="tr"/>
          <w14:ligatures w14:val="standardContextual"/>
        </w:rPr>
        <w:t>Hükümet, başvuranın sendika ve dernek üyeliklerine ilişkin yasallık karinesini çürütmek için herhangi bir özel kanıt sunmamıştır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392).</w:t>
      </w:r>
    </w:p>
    <w:p w14:paraId="3890A559" w14:textId="4C58F1B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Ceza Kanunu'nun 314. maddesinin kapsamının, bu hükmü yorumlayan içtihatlarda gerekli olan ve silahlı bir terör örgütüne üyeliği gösteren süreklilik, çeşitlilik ve yoğunluk kriterlerini yerine getirecek somut unsurlar olmaksızın, suç teşkil eden bir davranış göstergesi olarak, her ikisi de o dönemde yasal olarak faaliyet gösteren bir sendikaya ve bir derneğe üyeliği içerecek şekilde öngörülemeyen bir şekilde genişletildiği gerçeğine vurgu yapmıştır</w:t>
      </w:r>
      <w:r w:rsidRPr="00C47AC0">
        <w:rPr>
          <w:rFonts w:ascii="Palatino Linotype" w:eastAsia="Calibri" w:hAnsi="Palatino Linotype" w:cs="Times New Roman"/>
          <w:iCs/>
          <w:kern w:val="2"/>
          <w:lang w:val="tr"/>
          <w14:ligatures w14:val="standardContextual"/>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394). </w:t>
      </w:r>
    </w:p>
    <w:p w14:paraId="20241675" w14:textId="60B2F00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Yukarıda</w:t>
      </w:r>
      <w:r w:rsidRPr="00C47AC0">
        <w:rPr>
          <w:rFonts w:ascii="Palatino Linotype" w:eastAsia="Calibri" w:hAnsi="Palatino Linotype" w:cs="Times New Roman"/>
          <w:iCs/>
          <w:kern w:val="2"/>
          <w:lang w:val="tr"/>
          <w14:ligatures w14:val="standardContextual"/>
        </w:rPr>
        <w:t xml:space="preserve"> belirtilen hususlar ışığında Mahkeme, mevcut davada </w:t>
      </w:r>
      <w:r w:rsidRPr="00C47AC0">
        <w:rPr>
          <w:rFonts w:ascii="Palatino Linotype" w:eastAsia="Calibri" w:hAnsi="Palatino Linotype" w:cs="Times New Roman"/>
          <w:b/>
          <w:bCs/>
          <w:iCs/>
          <w:kern w:val="2"/>
          <w:lang w:val="tr"/>
          <w14:ligatures w14:val="standardContextual"/>
        </w:rPr>
        <w:t>Ceza Kanunu'nun 314</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2</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maddesinin başvuranın Aktif Eğitim-Sen ve Kayseri Gönüllü Eğitimciler Derneği üyeliğiyle ilgili olarak yorumlanma şeklinin, bu </w:t>
      </w:r>
      <w:r w:rsidRPr="00C47AC0">
        <w:rPr>
          <w:rFonts w:ascii="Palatino Linotype" w:eastAsia="Calibri" w:hAnsi="Palatino Linotype" w:cs="Times New Roman"/>
          <w:b/>
          <w:bCs/>
          <w:iCs/>
          <w:kern w:val="2"/>
          <w:lang w:val="tr"/>
          <w14:ligatures w14:val="standardContextual"/>
        </w:rPr>
        <w:t>hükmün kapsamını öngörülemeyen bir şekilde genişlettiğini, keyfi müdahalelere karşı gerekli asgari korumayı sağlamadığını ve bu nedenle Sözleşme'nin 11</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2</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maddesinin gerektirdiği şekilde </w:t>
      </w:r>
      <w:r w:rsidRPr="00C47AC0">
        <w:rPr>
          <w:rFonts w:ascii="Palatino Linotype" w:eastAsia="Calibri" w:hAnsi="Palatino Linotype" w:cs="Times New Roman"/>
          <w:b/>
          <w:bCs/>
          <w:i/>
          <w:kern w:val="2"/>
          <w:lang w:val="tr"/>
          <w14:ligatures w14:val="standardContextual"/>
        </w:rPr>
        <w:t>"kanunla öngörülmüş"</w:t>
      </w:r>
      <w:r w:rsidRPr="00C47AC0">
        <w:rPr>
          <w:rFonts w:ascii="Palatino Linotype" w:eastAsia="Calibri" w:hAnsi="Palatino Linotype" w:cs="Times New Roman"/>
          <w:b/>
          <w:bCs/>
          <w:iCs/>
          <w:kern w:val="2"/>
          <w:lang w:val="tr"/>
          <w14:ligatures w14:val="standardContextual"/>
        </w:rPr>
        <w:t xml:space="preserve"> olarak kabul edilemeyeceğini tespit etmiştir</w:t>
      </w:r>
      <w:r w:rsidRPr="00C47AC0">
        <w:rPr>
          <w:rFonts w:ascii="Palatino Linotype" w:eastAsia="Calibri" w:hAnsi="Palatino Linotype" w:cs="Times New Roman"/>
          <w:iCs/>
          <w:kern w:val="2"/>
          <w:lang w:val="tr"/>
          <w14:ligatures w14:val="standardContextual"/>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396).</w:t>
      </w:r>
    </w:p>
    <w:p w14:paraId="494DD286" w14:textId="60DB722C" w:rsidR="008A5BF2" w:rsidRPr="00C47AC0" w:rsidRDefault="003B35EE" w:rsidP="00F508CA">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sonuç olarak, mevcut davada Sözleşme'nin 11. maddesinin ihlal edildiğine karar vermiştir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402).</w:t>
      </w:r>
    </w:p>
    <w:p w14:paraId="49923CA4" w14:textId="1E6B65C6" w:rsidR="008A5BF2" w:rsidRPr="00C47AC0" w:rsidRDefault="00CA2C93" w:rsidP="008A5BF2">
      <w:pPr>
        <w:spacing w:line="360" w:lineRule="auto"/>
        <w:jc w:val="both"/>
        <w:rPr>
          <w:rFonts w:ascii="Palatino Linotype" w:hAnsi="Palatino Linotype" w:cs="Times New Roman"/>
          <w:b/>
          <w:bCs/>
          <w:iCs/>
          <w:lang w:val="tr"/>
        </w:rPr>
      </w:pPr>
      <w:bookmarkStart w:id="1" w:name="_Hlk146742266"/>
      <w:r w:rsidRPr="00C47AC0">
        <w:rPr>
          <w:rFonts w:ascii="Palatino Linotype" w:hAnsi="Palatino Linotype" w:cs="Times New Roman"/>
          <w:b/>
          <w:bCs/>
          <w:lang w:val="tr"/>
        </w:rPr>
        <w:lastRenderedPageBreak/>
        <w:t>C</w:t>
      </w:r>
      <w:r w:rsidR="008A5BF2" w:rsidRPr="00C47AC0">
        <w:rPr>
          <w:rFonts w:ascii="Palatino Linotype" w:hAnsi="Palatino Linotype" w:cs="Times New Roman"/>
          <w:b/>
          <w:bCs/>
          <w:lang w:val="tr"/>
        </w:rPr>
        <w:t>- Kararın Ulusal Bağlayıcılığı ve Benzer Genel Dosyalara Uygulanması Yükümlülüğü</w:t>
      </w:r>
    </w:p>
    <w:bookmarkEnd w:id="1"/>
    <w:p w14:paraId="02B8DE4A" w14:textId="58C81728" w:rsidR="008A5BF2" w:rsidRPr="00C47AC0" w:rsidRDefault="008A5BF2" w:rsidP="004063DF">
      <w:pPr>
        <w:pStyle w:val="ListeParagraf"/>
        <w:numPr>
          <w:ilvl w:val="0"/>
          <w:numId w:val="2"/>
        </w:numPr>
        <w:tabs>
          <w:tab w:val="left" w:pos="3870"/>
        </w:tabs>
        <w:spacing w:line="360" w:lineRule="auto"/>
        <w:ind w:left="630" w:right="-378"/>
        <w:jc w:val="both"/>
        <w:rPr>
          <w:rFonts w:ascii="Palatino Linotype" w:hAnsi="Palatino Linotype" w:cs="Times New Roman"/>
          <w:i/>
          <w:lang w:val="tr"/>
        </w:rPr>
      </w:pPr>
      <w:r w:rsidRPr="00C47AC0">
        <w:rPr>
          <w:rFonts w:ascii="Palatino Linotype" w:hAnsi="Palatino Linotype" w:cs="Times New Roman"/>
          <w:iCs/>
          <w:lang w:val="tr"/>
        </w:rPr>
        <w:t xml:space="preserve">AİHM, Sözleşme'nin 46. Maddesinde yer alan </w:t>
      </w:r>
      <w:r w:rsidRPr="00C47AC0">
        <w:rPr>
          <w:rFonts w:ascii="Palatino Linotype" w:hAnsi="Palatino Linotype" w:cs="Times New Roman"/>
          <w:i/>
          <w:lang w:val="tr"/>
        </w:rPr>
        <w:t>"1. Yüksek Sözleşmeci Taraflar, taraf oldukları her davada Mahkeme'nin nihai kararına uymayı taahhüt ederler."</w:t>
      </w:r>
      <w:r w:rsidRPr="00C47AC0">
        <w:rPr>
          <w:rFonts w:ascii="Palatino Linotype" w:hAnsi="Palatino Linotype" w:cs="Times New Roman"/>
          <w:iCs/>
          <w:lang w:val="tr"/>
        </w:rPr>
        <w:t xml:space="preserve"> biçimindeki kural gereği, davalı Devlet'e, tespit edilen ihlale son verme</w:t>
      </w:r>
      <w:r w:rsidR="004063DF" w:rsidRPr="00C47AC0">
        <w:rPr>
          <w:rFonts w:ascii="Palatino Linotype" w:hAnsi="Palatino Linotype" w:cs="Times New Roman"/>
          <w:iCs/>
          <w:lang w:val="tr"/>
        </w:rPr>
        <w:t>si</w:t>
      </w:r>
      <w:r w:rsidRPr="00C47AC0">
        <w:rPr>
          <w:rFonts w:ascii="Palatino Linotype" w:hAnsi="Palatino Linotype" w:cs="Times New Roman"/>
          <w:iCs/>
          <w:lang w:val="tr"/>
        </w:rPr>
        <w:t xml:space="preserve"> ve ihlalden önceki durumu mümkün olduğunca eski haline getirecek şekilde sonuçlarını telafi etmesi, yargılamanın yenilenmesi, </w:t>
      </w:r>
      <w:r w:rsidRPr="00C47AC0">
        <w:rPr>
          <w:rFonts w:ascii="Palatino Linotype" w:hAnsi="Palatino Linotype" w:cs="Times New Roman"/>
          <w:i/>
          <w:lang w:val="tr"/>
        </w:rPr>
        <w:t>“benzer vakalara ilişkin”</w:t>
      </w:r>
      <w:r w:rsidRPr="00C47AC0">
        <w:rPr>
          <w:rFonts w:ascii="Palatino Linotype" w:hAnsi="Palatino Linotype" w:cs="Times New Roman"/>
          <w:iCs/>
          <w:lang w:val="tr"/>
        </w:rPr>
        <w:t xml:space="preserve"> olarak da aynı tedbirlerin alınması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413-418), sistematik olan bu sorunun yüz</w:t>
      </w:r>
      <w:r w:rsidR="00CE3B84" w:rsidRPr="00C47AC0">
        <w:rPr>
          <w:rFonts w:ascii="Palatino Linotype" w:hAnsi="Palatino Linotype" w:cs="Times New Roman"/>
          <w:iCs/>
          <w:lang w:val="tr"/>
        </w:rPr>
        <w:t xml:space="preserve"> </w:t>
      </w:r>
      <w:r w:rsidRPr="00C47AC0">
        <w:rPr>
          <w:rFonts w:ascii="Palatino Linotype" w:hAnsi="Palatino Linotype" w:cs="Times New Roman"/>
          <w:iCs/>
          <w:lang w:val="tr"/>
        </w:rPr>
        <w:t>binden fazla dosyayı etkilediği ve etkilemeye devam etmesi nedeniyle bu sorunun ihlal gerekçeleri bağlamında çözülmesi yükümlülüğü</w:t>
      </w:r>
      <w:r w:rsidR="004063DF" w:rsidRPr="00C47AC0">
        <w:rPr>
          <w:rFonts w:ascii="Palatino Linotype" w:hAnsi="Palatino Linotype" w:cs="Times New Roman"/>
          <w:iCs/>
          <w:lang w:val="tr"/>
        </w:rPr>
        <w:t>nü</w:t>
      </w:r>
      <w:r w:rsidRPr="00C47AC0">
        <w:rPr>
          <w:rFonts w:ascii="Palatino Linotype" w:hAnsi="Palatino Linotype" w:cs="Times New Roman"/>
          <w:iCs/>
          <w:lang w:val="tr"/>
        </w:rPr>
        <w:t xml:space="preserve"> getirmiştir.</w:t>
      </w:r>
    </w:p>
    <w:p w14:paraId="0934795B" w14:textId="6E2BB6EC"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Mahkeme'nin içtihadına göre, bir ihlalin çok sayıda insanı etkileyen sistemik bir sorundan </w:t>
      </w:r>
      <w:r w:rsidRPr="00C47AC0">
        <w:rPr>
          <w:rFonts w:ascii="Palatino Linotype" w:hAnsi="Palatino Linotype" w:cs="Times New Roman"/>
          <w:bCs/>
        </w:rPr>
        <w:t>kaynaklandığı</w:t>
      </w:r>
      <w:r w:rsidRPr="00C47AC0">
        <w:rPr>
          <w:rFonts w:ascii="Palatino Linotype" w:hAnsi="Palatino Linotype" w:cs="Times New Roman"/>
          <w:iCs/>
          <w:lang w:val="tr"/>
        </w:rPr>
        <w:t xml:space="preserve"> durumlarda, böyle bir kararın icrası için ulusal düzeyde genel tedbirler alınması gerekecektir. Mahkeme İçtüzüğü'nün 61. maddesi uyarınca pilot karar usulü çerçevesinde sıklıkla başvurulmasına rağmen, Mahkeme bu usulün uygulanmadığı davalarda da genel tedbirlere işaret etmiştir. İster bir pilot karar çerçevesinde ister başka bir şekilde yapılmış olsun, bu tür göstergelerle amaçlanan, ulusal düzeydeki sistemik sorunları çözerek Sözleşmeci Devletlerin Sözleşme sistemindeki rollerini yerine getirmelerine yardımcı olmaktır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416).</w:t>
      </w:r>
    </w:p>
    <w:p w14:paraId="3D203B94" w14:textId="3968B620"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Mahkeme bu bağlamda, Bakanlar Komitesi'nin </w:t>
      </w:r>
      <w:proofErr w:type="gramStart"/>
      <w:r w:rsidRPr="00C47AC0">
        <w:rPr>
          <w:rFonts w:ascii="Palatino Linotype" w:hAnsi="Palatino Linotype" w:cs="Times New Roman"/>
          <w:iCs/>
          <w:lang w:val="tr"/>
        </w:rPr>
        <w:t>Rec(</w:t>
      </w:r>
      <w:proofErr w:type="gramEnd"/>
      <w:r w:rsidRPr="00C47AC0">
        <w:rPr>
          <w:rFonts w:ascii="Palatino Linotype" w:hAnsi="Palatino Linotype" w:cs="Times New Roman"/>
          <w:iCs/>
          <w:lang w:val="tr"/>
        </w:rPr>
        <w:t xml:space="preserve">2004)6 sayılı Tavsiye Kararında belirtildiği üzere, Devletlerin Sözleşme ihlallerinin altında yatan sorunları çözme konusundaki genel yükümlülüğüne işaret etmektedir. Ayrıca, Sözleşmeci Devletlerin, Mahkeme tarafından tespit edilen sistemik ve yapısal insan hakları sorunlarını çözme ve Reykjavik'te düzenlenen son Devlet ve Hükümet Başkanları Zirvesi sırasında açık bir şekilde ifade edildiği üzere, bağlayıcı niteliklerini göz önünde bulundurarak nihai kararlarının tam, etkili ve hızlı bir şekilde uygulanmasını sağlama konusundaki taahhütlerini de not eder (bkz. ilgili görülerek yukarıdaki 204. paragrafta atıfta bulunulan Reykjavik Deklarasyonu Ek IV). Mahkeme'nin kaygısı, ulusal insan hakları koruma sisteminde tespit edilen bir kusurun hızlı ve etkili bir şekilde düzeltilmesini kolaylaştırmaktır ve yukarıdaki 408. paragrafta belirtildiği gibi, Komite kararları sadece önüne getirilen davaları karara bağlamakla kalmaz. Bu nedenle, böyle bir kusur tespit edildiğinde, ulusal makamlar, Bakanlar Komitesi'nin denetimine tabi olarak, Sözleşme sisteminin temelini oluşturan ikincillik ilkesine uygun </w:t>
      </w:r>
      <w:proofErr w:type="gramStart"/>
      <w:r w:rsidRPr="00C47AC0">
        <w:rPr>
          <w:rFonts w:ascii="Palatino Linotype" w:hAnsi="Palatino Linotype" w:cs="Times New Roman"/>
          <w:iCs/>
          <w:lang w:val="tr"/>
        </w:rPr>
        <w:t>olarak -</w:t>
      </w:r>
      <w:proofErr w:type="gramEnd"/>
      <w:r w:rsidRPr="00C47AC0">
        <w:rPr>
          <w:rFonts w:ascii="Palatino Linotype" w:hAnsi="Palatino Linotype" w:cs="Times New Roman"/>
          <w:iCs/>
          <w:lang w:val="tr"/>
        </w:rPr>
        <w:t xml:space="preserve"> gerekirse geriye dönük </w:t>
      </w:r>
      <w:r w:rsidRPr="00C47AC0">
        <w:rPr>
          <w:rFonts w:ascii="Palatino Linotype" w:hAnsi="Palatino Linotype" w:cs="Times New Roman"/>
          <w:iCs/>
          <w:lang w:val="tr"/>
        </w:rPr>
        <w:lastRenderedPageBreak/>
        <w:t>olarak - gerekli telafi tedbirlerini almakla görevlidir; böylece Mahkeme, bir dizi benzer davadaki ihlal bulgusunu tekrarlamak zorunda kalmaz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417).</w:t>
      </w:r>
    </w:p>
    <w:p w14:paraId="189A6AFC" w14:textId="38AEF405"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bCs/>
        </w:rPr>
        <w:t>Mahkeme</w:t>
      </w:r>
      <w:r w:rsidRPr="00C47AC0">
        <w:rPr>
          <w:rFonts w:ascii="Palatino Linotype" w:hAnsi="Palatino Linotype" w:cs="Times New Roman"/>
          <w:iCs/>
          <w:lang w:val="tr"/>
        </w:rPr>
        <w:t xml:space="preserve"> önceki kararlarındaki şu paragrafa atfını yenilemiştir: </w:t>
      </w:r>
      <w:r w:rsidRPr="00C47AC0">
        <w:rPr>
          <w:rFonts w:ascii="Palatino Linotype" w:hAnsi="Palatino Linotype" w:cs="Times New Roman"/>
          <w:i/>
          <w:lang w:val="tr"/>
        </w:rPr>
        <w:t>"Ayrıca, Mahkeme'nin Sözleşme kapsamındaki temel görevinin, Sözleşme'nin 19. maddesinde tanımlandığı üzere, 'Yüksek Sözleşmeci Tarafların Sözleşme ve Protokollerinde üstlendikleri taahhütlere uyulmasını sağlamak' olduğu da hatırlanmalıdır. Sözleşme'ye ilişkin herhangi bir sorunun kalmadığı davalarda sürekli olarak bireysel kararlar verilmesi gerekliliğinin bu görevle uyumlu olduğu söylenemez. Bu yargısal uygulama, Sözleşme kapsamındaki insan hakları korumasının güçlendirilmesine yararlı veya anlamlı bir şekilde katkıda bulunmaz; ..."</w:t>
      </w:r>
      <w:r w:rsidRPr="00C47AC0">
        <w:rPr>
          <w:rFonts w:ascii="Palatino Linotype" w:hAnsi="Palatino Linotype" w:cs="Times New Roman"/>
          <w:iCs/>
          <w:lang w:val="tr"/>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417).</w:t>
      </w:r>
    </w:p>
    <w:p w14:paraId="2F9A20CB" w14:textId="34D60D8D" w:rsidR="008A5BF2" w:rsidRPr="00C47AC0" w:rsidRDefault="008A5BF2" w:rsidP="00F508CA">
      <w:pPr>
        <w:pStyle w:val="ListeParagraf"/>
        <w:numPr>
          <w:ilvl w:val="0"/>
          <w:numId w:val="2"/>
        </w:numPr>
        <w:tabs>
          <w:tab w:val="left" w:pos="3870"/>
        </w:tabs>
        <w:spacing w:line="360" w:lineRule="auto"/>
        <w:ind w:left="630" w:right="-378"/>
        <w:jc w:val="both"/>
        <w:rPr>
          <w:rFonts w:ascii="Palatino Linotype" w:hAnsi="Palatino Linotype" w:cs="Times New Roman"/>
          <w:b/>
          <w:bCs/>
          <w:iCs/>
          <w:lang w:val="tr"/>
        </w:rPr>
      </w:pPr>
      <w:bookmarkStart w:id="2" w:name="_Hlk147069578"/>
      <w:r w:rsidRPr="00C47AC0">
        <w:rPr>
          <w:rFonts w:ascii="Palatino Linotype" w:hAnsi="Palatino Linotype" w:cs="Times New Roman"/>
          <w:iCs/>
          <w:lang w:val="tr"/>
        </w:rPr>
        <w:t xml:space="preserve">Bu </w:t>
      </w:r>
      <w:r w:rsidRPr="00C47AC0">
        <w:rPr>
          <w:rFonts w:ascii="Palatino Linotype" w:hAnsi="Palatino Linotype" w:cs="Times New Roman"/>
          <w:bCs/>
        </w:rPr>
        <w:t>nedenle</w:t>
      </w:r>
      <w:r w:rsidRPr="00C47AC0">
        <w:rPr>
          <w:rFonts w:ascii="Palatino Linotype" w:hAnsi="Palatino Linotype" w:cs="Times New Roman"/>
          <w:iCs/>
          <w:lang w:val="tr"/>
        </w:rPr>
        <w:t xml:space="preserve"> Mahkeme, gelecekte çok sayıda davada benzer ihlalleri tespit etmek zorunda kalmamak için, mevcut kararda tespit edilen kusurların, ilgili ve mümkün olduğu ölçüde, Türk makamları tarafından daha geniş bir </w:t>
      </w:r>
      <w:proofErr w:type="gramStart"/>
      <w:r w:rsidRPr="00C47AC0">
        <w:rPr>
          <w:rFonts w:ascii="Palatino Linotype" w:hAnsi="Palatino Linotype" w:cs="Times New Roman"/>
          <w:iCs/>
          <w:lang w:val="tr"/>
        </w:rPr>
        <w:t>ölçekte -</w:t>
      </w:r>
      <w:proofErr w:type="gramEnd"/>
      <w:r w:rsidRPr="00C47AC0">
        <w:rPr>
          <w:rFonts w:ascii="Palatino Linotype" w:hAnsi="Palatino Linotype" w:cs="Times New Roman"/>
          <w:iCs/>
          <w:lang w:val="tr"/>
        </w:rPr>
        <w:t xml:space="preserve"> yani mevcut başvuranın özel davasının ötesinde - ele alınması gerektiği görüşündedir. </w:t>
      </w:r>
      <w:proofErr w:type="gramStart"/>
      <w:r w:rsidR="00E90F06" w:rsidRPr="00C47AC0">
        <w:rPr>
          <w:rFonts w:ascii="Palatino Linotype" w:hAnsi="Palatino Linotype" w:cs="Times New Roman"/>
          <w:b/>
          <w:bCs/>
          <w:iCs/>
          <w:lang w:val="tr"/>
        </w:rPr>
        <w:t>dolayısıyla</w:t>
      </w:r>
      <w:proofErr w:type="gramEnd"/>
      <w:r w:rsidR="00E90F06" w:rsidRPr="00C47AC0">
        <w:rPr>
          <w:rFonts w:ascii="Palatino Linotype" w:hAnsi="Palatino Linotype" w:cs="Times New Roman"/>
          <w:b/>
          <w:bCs/>
          <w:iCs/>
          <w:lang w:val="tr"/>
        </w:rPr>
        <w:t xml:space="preserve">, davalı Devlet'in </w:t>
      </w:r>
      <w:r w:rsidR="00CE3B84" w:rsidRPr="00C47AC0">
        <w:rPr>
          <w:rFonts w:ascii="Palatino Linotype" w:hAnsi="Palatino Linotype" w:cs="Times New Roman"/>
          <w:b/>
          <w:bCs/>
          <w:iCs/>
          <w:lang w:val="tr"/>
        </w:rPr>
        <w:t>S</w:t>
      </w:r>
      <w:r w:rsidR="00E90F06" w:rsidRPr="00C47AC0">
        <w:rPr>
          <w:rFonts w:ascii="Palatino Linotype" w:hAnsi="Palatino Linotype" w:cs="Times New Roman"/>
          <w:b/>
          <w:bCs/>
          <w:iCs/>
          <w:lang w:val="tr"/>
        </w:rPr>
        <w:t>özleşme'nin 46. maddesi kapsamındaki yükümlülüklerine uygun olarak, mevcut karardan, özellikle ancak onlarla sınırlı olmamak üzere ulusal mahkemeler önünde görülmekte olan davalara ilişkin olarak</w:t>
      </w:r>
      <w:r w:rsidR="00E90F06" w:rsidRPr="00C47AC0">
        <w:rPr>
          <w:rFonts w:ascii="Palatino Linotype" w:hAnsi="Palatino Linotype" w:cs="Times New Roman"/>
          <w:b/>
          <w:bCs/>
          <w:i/>
          <w:lang w:val="tr"/>
        </w:rPr>
        <w:t xml:space="preserve"> </w:t>
      </w:r>
      <w:r w:rsidR="00E90F06" w:rsidRPr="00C47AC0">
        <w:rPr>
          <w:rFonts w:ascii="Palatino Linotype" w:hAnsi="Palatino Linotype" w:cs="Times New Roman"/>
          <w:b/>
          <w:bCs/>
          <w:iCs/>
          <w:lang w:val="tr"/>
        </w:rPr>
        <w:t xml:space="preserve">gerekli sonuçları çıkarmak ve burada ihlal bulgularına yol açan yukarıda tespit edilen sorunu çözmek için uygun olan diğer genel tedbirleri alması gerekmektedir. </w:t>
      </w:r>
      <w:r w:rsidRPr="00C47AC0">
        <w:rPr>
          <w:rFonts w:ascii="Palatino Linotype" w:hAnsi="Palatino Linotype" w:cs="Times New Roman"/>
          <w:iCs/>
          <w:lang w:val="tr"/>
        </w:rPr>
        <w:t>Daha spesifik olarak, ulusal mahkemelerin, mevcut kararda yorumlandığı ve uygulandığı şekliyle ilgili Sözleşme standartlarını gerekli şekilde dikkate almaları lazımdır. Mahkeme bu bağlamda, Sözleşme'nin 46. maddesinin, usulüne uygun olarak yürürlüğe konulmuş uluslararası anlaşmaların kanun hükmünde olduğu ve bunların anayasaya uygunluğuna itiraz etmek için Anayasa Mahkemesine başvurulamayacağı şeklindeki Türkiye Anayasası'nın 90</w:t>
      </w:r>
      <w:r w:rsidR="00CE3B84" w:rsidRPr="00C47AC0">
        <w:rPr>
          <w:rFonts w:ascii="Palatino Linotype" w:hAnsi="Palatino Linotype" w:cs="Times New Roman"/>
          <w:iCs/>
          <w:lang w:val="tr"/>
        </w:rPr>
        <w:t>/</w:t>
      </w:r>
      <w:r w:rsidRPr="00C47AC0">
        <w:rPr>
          <w:rFonts w:ascii="Palatino Linotype" w:hAnsi="Palatino Linotype" w:cs="Times New Roman"/>
          <w:iCs/>
          <w:lang w:val="tr"/>
        </w:rPr>
        <w:t>5</w:t>
      </w:r>
      <w:r w:rsidR="00CE3B84" w:rsidRPr="00C47AC0">
        <w:rPr>
          <w:rFonts w:ascii="Palatino Linotype" w:hAnsi="Palatino Linotype" w:cs="Times New Roman"/>
          <w:iCs/>
          <w:lang w:val="tr"/>
        </w:rPr>
        <w:t>.</w:t>
      </w:r>
      <w:r w:rsidRPr="00C47AC0">
        <w:rPr>
          <w:rFonts w:ascii="Palatino Linotype" w:hAnsi="Palatino Linotype" w:cs="Times New Roman"/>
          <w:iCs/>
          <w:lang w:val="tr"/>
        </w:rPr>
        <w:t xml:space="preserve"> maddesi uyarınca Türkiye'de anayasal bir kural hükmünde olduğunun altını çizmiştir (</w:t>
      </w:r>
      <w:r w:rsidR="00CE3B84" w:rsidRPr="00C47AC0">
        <w:rPr>
          <w:rFonts w:ascii="Palatino Linotype" w:eastAsia="Calibri" w:hAnsi="Palatino Linotype" w:cs="Times New Roman"/>
          <w:iCs/>
          <w:kern w:val="2"/>
          <w:lang w:val="tr"/>
          <w14:ligatures w14:val="standardContextual"/>
        </w:rPr>
        <w:t>§</w:t>
      </w:r>
      <w:r w:rsidRPr="00C47AC0">
        <w:rPr>
          <w:rFonts w:ascii="Palatino Linotype" w:hAnsi="Palatino Linotype" w:cs="Times New Roman"/>
          <w:iCs/>
          <w:lang w:val="tr"/>
        </w:rPr>
        <w:t xml:space="preserve"> 418).</w:t>
      </w:r>
      <w:bookmarkEnd w:id="2"/>
    </w:p>
    <w:p w14:paraId="46E8CEA8" w14:textId="102DDD30" w:rsidR="008A5BF2" w:rsidRPr="00C47AC0" w:rsidRDefault="003B35EE" w:rsidP="008A5BF2">
      <w:pPr>
        <w:spacing w:line="360" w:lineRule="auto"/>
        <w:jc w:val="both"/>
        <w:rPr>
          <w:rFonts w:ascii="Palatino Linotype" w:hAnsi="Palatino Linotype" w:cs="Times New Roman"/>
          <w:b/>
          <w:bCs/>
          <w:iCs/>
          <w:lang w:val="tr"/>
        </w:rPr>
      </w:pPr>
      <w:r w:rsidRPr="00C47AC0">
        <w:rPr>
          <w:rFonts w:ascii="Palatino Linotype" w:hAnsi="Palatino Linotype" w:cs="Times New Roman"/>
          <w:b/>
          <w:bCs/>
          <w:iCs/>
          <w:lang w:val="tr"/>
        </w:rPr>
        <w:t>D</w:t>
      </w:r>
      <w:r w:rsidR="008A5BF2" w:rsidRPr="00C47AC0">
        <w:rPr>
          <w:rFonts w:ascii="Palatino Linotype" w:hAnsi="Palatino Linotype" w:cs="Times New Roman"/>
          <w:b/>
          <w:bCs/>
          <w:iCs/>
          <w:lang w:val="tr"/>
        </w:rPr>
        <w:t xml:space="preserve">- Anayasa Mahkemesi İbrahim Er Kararındaki Objektif Etki Görüşü </w:t>
      </w:r>
    </w:p>
    <w:p w14:paraId="6C4CE4BC" w14:textId="6FE8DF02"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rPr>
        <w:t xml:space="preserve">Anayasa Mahkemesi, Yılmaz Çelik Başvurusu (Başvuru Numarası: 2014/13117) ile ilgili kararında </w:t>
      </w:r>
      <w:r w:rsidRPr="00C47AC0">
        <w:rPr>
          <w:rFonts w:ascii="Palatino Linotype" w:hAnsi="Palatino Linotype" w:cs="Times New Roman"/>
          <w:iCs/>
          <w:lang w:val="tr"/>
        </w:rPr>
        <w:t>TCK’nın</w:t>
      </w:r>
      <w:r w:rsidRPr="00C47AC0">
        <w:rPr>
          <w:rFonts w:ascii="Palatino Linotype" w:hAnsi="Palatino Linotype" w:cs="Times New Roman"/>
          <w:iCs/>
        </w:rPr>
        <w:t xml:space="preserve"> 314/2. </w:t>
      </w:r>
      <w:r w:rsidR="00CE3B84" w:rsidRPr="00C47AC0">
        <w:rPr>
          <w:rFonts w:ascii="Palatino Linotype" w:hAnsi="Palatino Linotype" w:cs="Times New Roman"/>
          <w:iCs/>
        </w:rPr>
        <w:t>m</w:t>
      </w:r>
      <w:r w:rsidRPr="00C47AC0">
        <w:rPr>
          <w:rFonts w:ascii="Palatino Linotype" w:hAnsi="Palatino Linotype" w:cs="Times New Roman"/>
          <w:iCs/>
        </w:rPr>
        <w:t xml:space="preserve">addesi gereği Hizb-ut Tahrir terör örgütü üyeliğinden </w:t>
      </w:r>
      <w:proofErr w:type="gramStart"/>
      <w:r w:rsidRPr="00C47AC0">
        <w:rPr>
          <w:rFonts w:ascii="Palatino Linotype" w:hAnsi="Palatino Linotype" w:cs="Times New Roman"/>
          <w:iCs/>
        </w:rPr>
        <w:t>mahkum</w:t>
      </w:r>
      <w:proofErr w:type="gramEnd"/>
      <w:r w:rsidRPr="00C47AC0">
        <w:rPr>
          <w:rFonts w:ascii="Palatino Linotype" w:hAnsi="Palatino Linotype" w:cs="Times New Roman"/>
          <w:iCs/>
        </w:rPr>
        <w:t xml:space="preserve"> olan başvuranın dosyasını incelemiş ve 19/7/2018 tarihli kararı ile anılan yapının bir terör örgütü olma unsurlarına sahip olma yönündeki mahkeme gerekçesini yetersiz görmüş ve adil yargılama hakkının ihlal edildiğine karar vermiş ve anılan başvurucu yeniden yargılanarak beraat etmiştir.</w:t>
      </w:r>
    </w:p>
    <w:p w14:paraId="5CEFFB1A" w14:textId="77777777"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lastRenderedPageBreak/>
        <w:t>Anayasa</w:t>
      </w:r>
      <w:r w:rsidRPr="00C47AC0">
        <w:rPr>
          <w:rFonts w:ascii="Palatino Linotype" w:hAnsi="Palatino Linotype" w:cs="Times New Roman"/>
          <w:iCs/>
        </w:rPr>
        <w:t xml:space="preserve"> </w:t>
      </w:r>
      <w:r w:rsidRPr="00C47AC0">
        <w:rPr>
          <w:rFonts w:ascii="Palatino Linotype" w:hAnsi="Palatino Linotype" w:cs="Times New Roman"/>
          <w:bCs/>
        </w:rPr>
        <w:t>Mahkemesinin</w:t>
      </w:r>
      <w:r w:rsidRPr="00C47AC0">
        <w:rPr>
          <w:rFonts w:ascii="Palatino Linotype" w:hAnsi="Palatino Linotype" w:cs="Times New Roman"/>
          <w:iCs/>
        </w:rPr>
        <w:t xml:space="preserve"> Yılmaz Çelik kararı sonrasında Hizb-ut Tahrire üye oldukları gerekçesiyle cezalandırılan birçok başvurucu, farklı yerlerdeki ilk derece mahkemelerinden yargılanmanın yenilenmesi taleplerinde bulunmuştur. Bazı ilk derece mahkemelerinin yapılan bu başvurular sonrasında yeniden yargılama taleplerinin kabulüne karar verdiği ve kişiler hakkında yeniden bir değerlendirme yaptığı anlaşılmıştır. İstanbul 13. Ağır Ceza Mahkemesinin 2/2/2021 tarihli bir kararı (2021/16 D. İş), Adana 7. Ağır Ceza Mahkemesinin 3/9/2020 ve 16/9/2021 tarihli iki ayrı kararı (E.2009/89, K.2010/79 sayılı iyi ayrı ek karar), Erzurum 2. Ağır Ceza Mahkemesinin 21/2/2019 tarihli bir ek kararı (E.2009/239, K.2012/300), Diyarbakır 7. Ağır Ceza Mahkemesinin 25/3/2019 tarihli bir kararı (2019/237 D. İş) bu kararlardan bazılarıdır.</w:t>
      </w:r>
    </w:p>
    <w:p w14:paraId="7D81098E" w14:textId="77777777"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Ancak aynı örgüt üyeliğinden kesin hükümle </w:t>
      </w:r>
      <w:proofErr w:type="gramStart"/>
      <w:r w:rsidRPr="00C47AC0">
        <w:rPr>
          <w:rFonts w:ascii="Palatino Linotype" w:hAnsi="Palatino Linotype" w:cs="Times New Roman"/>
          <w:iCs/>
          <w:lang w:val="tr"/>
        </w:rPr>
        <w:t>mahkum</w:t>
      </w:r>
      <w:proofErr w:type="gramEnd"/>
      <w:r w:rsidRPr="00C47AC0">
        <w:rPr>
          <w:rFonts w:ascii="Palatino Linotype" w:hAnsi="Palatino Linotype" w:cs="Times New Roman"/>
          <w:iCs/>
          <w:lang w:val="tr"/>
        </w:rPr>
        <w:t xml:space="preserve"> olan ve AYM’ye de bireysel başvuru yapmamış olan İbrahim Er</w:t>
      </w:r>
      <w:r w:rsidRPr="00C47AC0">
        <w:rPr>
          <w:rFonts w:ascii="Palatino Linotype" w:hAnsi="Palatino Linotype" w:cs="Times New Roman"/>
          <w:iCs/>
        </w:rPr>
        <w:t xml:space="preserve"> ve Diğerleri, AYM kararı gereği yargılamanın yenilenmesi için yerel mahkemelerde yaptıkları başvurular reddedilince, bu kişiler AYM’ye bireysel başvuruda bulunmuşlardır (Başvuru Numarası: 2019/33281) Karar Tarihi: 26/1/2023.</w:t>
      </w:r>
    </w:p>
    <w:p w14:paraId="62EA2E50" w14:textId="3DE6033D" w:rsidR="00AB0224" w:rsidRPr="00C47AC0" w:rsidRDefault="00AB0224" w:rsidP="008A5BF2">
      <w:pPr>
        <w:pStyle w:val="ListeParagraf"/>
        <w:numPr>
          <w:ilvl w:val="0"/>
          <w:numId w:val="2"/>
        </w:numPr>
        <w:tabs>
          <w:tab w:val="left" w:pos="3870"/>
        </w:tabs>
        <w:spacing w:line="360" w:lineRule="auto"/>
        <w:ind w:left="630" w:right="-378"/>
        <w:jc w:val="both"/>
        <w:rPr>
          <w:rFonts w:ascii="Palatino Linotype" w:hAnsi="Palatino Linotype" w:cs="Times New Roman"/>
          <w:i/>
          <w:lang w:val="tr"/>
        </w:rPr>
      </w:pPr>
      <w:r w:rsidRPr="00C47AC0">
        <w:rPr>
          <w:rFonts w:ascii="Palatino Linotype" w:hAnsi="Palatino Linotype" w:cs="Times New Roman"/>
          <w:iCs/>
        </w:rPr>
        <w:t xml:space="preserve">AYM, bu başvurunun 36. paragrafında şu tespiti yapmıştır: </w:t>
      </w:r>
      <w:r w:rsidRPr="00C47AC0">
        <w:rPr>
          <w:rFonts w:ascii="Palatino Linotype" w:hAnsi="Palatino Linotype" w:cs="Times New Roman"/>
          <w:i/>
        </w:rPr>
        <w:t>“Öte yandan anılan kararda, Anayasa Mahkemesi ile Avrupa İnsan Hakları Mahkemesinin (AİHM) ihlal kararlarının ve sonuçlarının ortadan kaldırılmasına dönük yeniden yargılama taleplerine ilişkin iddiaların adil yargılanma hakkının kapsamında kaldığı açıkça vurgulanmıştır (Nihat Akbulak, § 39)”</w:t>
      </w:r>
    </w:p>
    <w:p w14:paraId="5A58891E" w14:textId="3371C156"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AYM, Yılmaz Çelik kararında aynı konuyu incelediğini ve ihlal tespit ettiğini, bu </w:t>
      </w:r>
      <w:r w:rsidRPr="00C47AC0">
        <w:rPr>
          <w:rFonts w:ascii="Palatino Linotype" w:hAnsi="Palatino Linotype" w:cs="Times New Roman"/>
          <w:bCs/>
        </w:rPr>
        <w:t>anayasal</w:t>
      </w:r>
      <w:r w:rsidRPr="00C47AC0">
        <w:rPr>
          <w:rFonts w:ascii="Palatino Linotype" w:hAnsi="Palatino Linotype" w:cs="Times New Roman"/>
          <w:iCs/>
          <w:lang w:val="tr"/>
        </w:rPr>
        <w:t xml:space="preserve"> yorumun objektif etkisi (Yılmaz Çelik kararı </w:t>
      </w:r>
      <w:r w:rsidR="00CC1997" w:rsidRPr="00C47AC0">
        <w:rPr>
          <w:rFonts w:ascii="Palatino Linotype" w:eastAsia="Calibri" w:hAnsi="Palatino Linotype" w:cs="Times New Roman"/>
          <w:iCs/>
          <w:kern w:val="2"/>
          <w:lang w:val="tr"/>
          <w14:ligatures w14:val="standardContextual"/>
        </w:rPr>
        <w:t>§</w:t>
      </w:r>
      <w:r w:rsidRPr="00C47AC0">
        <w:rPr>
          <w:rFonts w:ascii="Palatino Linotype" w:hAnsi="Palatino Linotype" w:cs="Times New Roman"/>
          <w:iCs/>
          <w:lang w:val="tr"/>
        </w:rPr>
        <w:t xml:space="preserve"> 45 ve sonrası) ve AYM kararının aynı mahiyette olan diğer olaylara da uygulanması gerekliliği kapsamında yerel mahkemelerin yargılanmasının yenilenmesi talebinin reddinin, gerekçeli karar hakkı bağlamında adil yargılama hakkını ihlal ettiğini tespit etmiştir. AYM’nin bu gerekçesi yukarıda AİHM’in </w:t>
      </w:r>
      <w:r w:rsidR="00265EA3" w:rsidRPr="00C47AC0">
        <w:rPr>
          <w:rFonts w:ascii="Palatino Linotype" w:hAnsi="Palatino Linotype" w:cs="Times New Roman"/>
          <w:iCs/>
          <w:lang w:val="tr"/>
        </w:rPr>
        <w:t>18-22</w:t>
      </w:r>
      <w:r w:rsidRPr="00C47AC0">
        <w:rPr>
          <w:rFonts w:ascii="Palatino Linotype" w:hAnsi="Palatino Linotype" w:cs="Times New Roman"/>
          <w:iCs/>
          <w:lang w:val="tr"/>
        </w:rPr>
        <w:t>. Paragraflarında belirtilen görüşü ile aynıdır.</w:t>
      </w:r>
    </w:p>
    <w:p w14:paraId="37920426" w14:textId="7A4C2808" w:rsidR="00F508CA" w:rsidRPr="00C47AC0" w:rsidRDefault="008A5BF2" w:rsidP="00924F0F">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Her iki mahkeme de aslında şunu söylemiştir: Eğer mahkeme (AYM-AİHM) Sözleşme ve Anayasa’da tespit edilen bir hakkın ihlaline hükmetmiş ise, </w:t>
      </w:r>
      <w:r w:rsidRPr="00C47AC0">
        <w:rPr>
          <w:rFonts w:ascii="Palatino Linotype" w:hAnsi="Palatino Linotype" w:cs="Times New Roman"/>
          <w:b/>
          <w:bCs/>
          <w:iCs/>
          <w:lang w:val="tr"/>
        </w:rPr>
        <w:t xml:space="preserve">başvuru ister bireysel olsun isterse seçilmiş pilot dosya olsun, bu durum anılan mahkemelerin önüne getirilmesine gerek kalmaksızın benzer tüm </w:t>
      </w:r>
      <w:r w:rsidR="00265EA3" w:rsidRPr="00C47AC0">
        <w:rPr>
          <w:rFonts w:ascii="Palatino Linotype" w:hAnsi="Palatino Linotype" w:cs="Times New Roman"/>
          <w:b/>
          <w:bCs/>
          <w:iCs/>
          <w:lang w:val="tr"/>
        </w:rPr>
        <w:t xml:space="preserve">derdest ve kesinleşmiş </w:t>
      </w:r>
      <w:r w:rsidRPr="00C47AC0">
        <w:rPr>
          <w:rFonts w:ascii="Palatino Linotype" w:hAnsi="Palatino Linotype" w:cs="Times New Roman"/>
          <w:b/>
          <w:bCs/>
          <w:iCs/>
          <w:lang w:val="tr"/>
        </w:rPr>
        <w:t>işlemlere ve davalara da uygulanması gerekir</w:t>
      </w:r>
      <w:r w:rsidRPr="00C47AC0">
        <w:rPr>
          <w:rFonts w:ascii="Palatino Linotype" w:hAnsi="Palatino Linotype" w:cs="Times New Roman"/>
          <w:iCs/>
          <w:lang w:val="tr"/>
        </w:rPr>
        <w:t>. İdare ve yargı bu hususta gerekli hassasiyeti göstermek ve önlemleri almak zorundadır.</w:t>
      </w:r>
    </w:p>
    <w:p w14:paraId="6CB133CF" w14:textId="62674491" w:rsidR="00F83122" w:rsidRPr="00C47AC0" w:rsidRDefault="00265EA3" w:rsidP="008A5BF2">
      <w:pPr>
        <w:tabs>
          <w:tab w:val="left" w:pos="3870"/>
        </w:tabs>
        <w:spacing w:line="360" w:lineRule="auto"/>
        <w:ind w:right="-378"/>
        <w:jc w:val="both"/>
        <w:rPr>
          <w:rFonts w:ascii="Palatino Linotype" w:hAnsi="Palatino Linotype" w:cs="Times New Roman"/>
          <w:b/>
          <w:lang w:val="tr"/>
        </w:rPr>
      </w:pPr>
      <w:r w:rsidRPr="00C47AC0">
        <w:rPr>
          <w:rFonts w:ascii="Palatino Linotype" w:hAnsi="Palatino Linotype" w:cs="Times New Roman"/>
          <w:b/>
          <w:lang w:val="tr"/>
        </w:rPr>
        <w:t>IV. Sonuç</w:t>
      </w:r>
    </w:p>
    <w:p w14:paraId="37CBFB00" w14:textId="7A534E55" w:rsidR="008D5592" w:rsidRPr="00C47AC0" w:rsidRDefault="00DD4EB8" w:rsidP="008D3063">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lastRenderedPageBreak/>
        <w:t>A</w:t>
      </w:r>
      <w:r w:rsidR="008D5592" w:rsidRPr="00C47AC0">
        <w:rPr>
          <w:rFonts w:ascii="Palatino Linotype" w:hAnsi="Palatino Linotype" w:cs="Times New Roman"/>
        </w:rPr>
        <w:t xml:space="preserve">İHM ve </w:t>
      </w:r>
      <w:r w:rsidRPr="00C47AC0">
        <w:rPr>
          <w:rFonts w:ascii="Palatino Linotype" w:hAnsi="Palatino Linotype" w:cs="Times New Roman"/>
        </w:rPr>
        <w:t xml:space="preserve">AYM’ye </w:t>
      </w:r>
      <w:r w:rsidR="008D5592" w:rsidRPr="00C47AC0">
        <w:rPr>
          <w:rFonts w:ascii="Palatino Linotype" w:hAnsi="Palatino Linotype" w:cs="Times New Roman"/>
        </w:rPr>
        <w:t xml:space="preserve">yapılan </w:t>
      </w:r>
      <w:r w:rsidRPr="00C47AC0">
        <w:rPr>
          <w:rFonts w:ascii="Palatino Linotype" w:hAnsi="Palatino Linotype" w:cs="Times New Roman"/>
        </w:rPr>
        <w:t xml:space="preserve">bireysel başvuru sonucunda verilen kararlar ile bireysel başvurunun doğası gereği bu kararların gerekçeleri, yasama, yürütme, yargı ve Türkiye örneğinde gerçek kişiler açısından bağlayıcıdır ve bu bağlayıcılık, somut olay temelinde yapılan incelemenin genel hukuk düzeni açısından etki göstermesine neden olmaktadır. Kamu organları, bir şikâyetçiyle aynı durumda olan kişilerle olan ilişkisini, bu olaya ilişkin bireysel başvurunun sonuçlarını görmezlikten gelerek kuramaz. Yasama, yürütme veya yargı bünyesinde yer alan bir kamusal güç, bireysel başvuruya konu olan eylem veya eylemsizliğin tekrarı halinde, bu eylem ve eylemsizliğin anayasaya aykırı sonuçları olacağını görebilir. Bu nedenle, ihlalden kaçınmak ve AYM/AİHM kararına uygun biçimde </w:t>
      </w:r>
      <w:r w:rsidR="00CC1997" w:rsidRPr="00C47AC0">
        <w:rPr>
          <w:rFonts w:ascii="Palatino Linotype" w:hAnsi="Palatino Linotype" w:cs="Times New Roman"/>
        </w:rPr>
        <w:t>A</w:t>
      </w:r>
      <w:r w:rsidRPr="00C47AC0">
        <w:rPr>
          <w:rFonts w:ascii="Palatino Linotype" w:hAnsi="Palatino Linotype" w:cs="Times New Roman"/>
        </w:rPr>
        <w:t>nayasa</w:t>
      </w:r>
      <w:r w:rsidR="00CC1997" w:rsidRPr="00C47AC0">
        <w:rPr>
          <w:rFonts w:ascii="Palatino Linotype" w:hAnsi="Palatino Linotype" w:cs="Times New Roman"/>
        </w:rPr>
        <w:t xml:space="preserve"> ve Sö</w:t>
      </w:r>
      <w:r w:rsidRPr="00C47AC0">
        <w:rPr>
          <w:rFonts w:ascii="Palatino Linotype" w:hAnsi="Palatino Linotype" w:cs="Times New Roman"/>
        </w:rPr>
        <w:t>zleşmey</w:t>
      </w:r>
      <w:r w:rsidR="00CC1997" w:rsidRPr="00C47AC0">
        <w:rPr>
          <w:rFonts w:ascii="Palatino Linotype" w:hAnsi="Palatino Linotype" w:cs="Times New Roman"/>
        </w:rPr>
        <w:t>i</w:t>
      </w:r>
      <w:r w:rsidRPr="00C47AC0">
        <w:rPr>
          <w:rFonts w:ascii="Palatino Linotype" w:hAnsi="Palatino Linotype" w:cs="Times New Roman"/>
        </w:rPr>
        <w:t xml:space="preserve"> dikkat</w:t>
      </w:r>
      <w:r w:rsidR="00CC1997" w:rsidRPr="00C47AC0">
        <w:rPr>
          <w:rFonts w:ascii="Palatino Linotype" w:hAnsi="Palatino Linotype" w:cs="Times New Roman"/>
        </w:rPr>
        <w:t>e almalıdır</w:t>
      </w:r>
      <w:r w:rsidRPr="00C47AC0">
        <w:rPr>
          <w:rFonts w:ascii="Palatino Linotype" w:hAnsi="Palatino Linotype" w:cs="Times New Roman"/>
        </w:rPr>
        <w:t>.</w:t>
      </w:r>
    </w:p>
    <w:p w14:paraId="547AAA1B" w14:textId="0CD2F0A6" w:rsidR="00CC34E0" w:rsidRPr="00C47AC0" w:rsidRDefault="008D5592" w:rsidP="007E4BD4">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Yukarıda izah edildiği üzere hem AYM hem de AİHM</w:t>
      </w:r>
      <w:r w:rsidR="00DD4EB8" w:rsidRPr="00C47AC0">
        <w:rPr>
          <w:rFonts w:ascii="Palatino Linotype" w:hAnsi="Palatino Linotype" w:cs="Times New Roman"/>
        </w:rPr>
        <w:t xml:space="preserve"> </w:t>
      </w:r>
      <w:r w:rsidR="00DD4EB8" w:rsidRPr="00C47AC0">
        <w:rPr>
          <w:rFonts w:ascii="Palatino Linotype" w:hAnsi="Palatino Linotype" w:cs="Times New Roman"/>
          <w:b/>
          <w:bCs/>
        </w:rPr>
        <w:t>mahkeme kararının objektif etkisi</w:t>
      </w:r>
      <w:r w:rsidRPr="00C47AC0">
        <w:rPr>
          <w:rFonts w:ascii="Palatino Linotype" w:hAnsi="Palatino Linotype" w:cs="Times New Roman"/>
          <w:b/>
          <w:bCs/>
        </w:rPr>
        <w:t>nin</w:t>
      </w:r>
      <w:r w:rsidR="00DD4EB8" w:rsidRPr="00C47AC0">
        <w:rPr>
          <w:rFonts w:ascii="Palatino Linotype" w:hAnsi="Palatino Linotype" w:cs="Times New Roman"/>
        </w:rPr>
        <w:t xml:space="preserve"> </w:t>
      </w:r>
      <w:r w:rsidRPr="00C47AC0">
        <w:rPr>
          <w:rFonts w:ascii="Palatino Linotype" w:hAnsi="Palatino Linotype" w:cs="Times New Roman"/>
        </w:rPr>
        <w:t xml:space="preserve">olduğunu, benzer davalara ve işlemlere uygulanması gerektiğini </w:t>
      </w:r>
      <w:r w:rsidR="00DD4EB8" w:rsidRPr="00C47AC0">
        <w:rPr>
          <w:rFonts w:ascii="Palatino Linotype" w:hAnsi="Palatino Linotype" w:cs="Times New Roman"/>
        </w:rPr>
        <w:t xml:space="preserve">açıkça </w:t>
      </w:r>
      <w:r w:rsidRPr="00C47AC0">
        <w:rPr>
          <w:rFonts w:ascii="Palatino Linotype" w:hAnsi="Palatino Linotype" w:cs="Times New Roman"/>
        </w:rPr>
        <w:t xml:space="preserve">ortaya koymuşlardır. </w:t>
      </w:r>
      <w:r w:rsidR="00DD4EB8" w:rsidRPr="00C47AC0">
        <w:rPr>
          <w:rFonts w:ascii="Palatino Linotype" w:hAnsi="Palatino Linotype" w:cs="Times New Roman"/>
        </w:rPr>
        <w:t xml:space="preserve">Mahkemenin objektif işlevi, Anayasa’nın </w:t>
      </w:r>
      <w:r w:rsidR="00A5622E" w:rsidRPr="00C47AC0">
        <w:rPr>
          <w:rFonts w:ascii="Palatino Linotype" w:hAnsi="Palatino Linotype" w:cs="Times New Roman"/>
        </w:rPr>
        <w:t xml:space="preserve">ve Sözleşme’nin </w:t>
      </w:r>
      <w:r w:rsidR="00DD4EB8" w:rsidRPr="00C47AC0">
        <w:rPr>
          <w:rFonts w:ascii="Palatino Linotype" w:hAnsi="Palatino Linotype" w:cs="Times New Roman"/>
        </w:rPr>
        <w:t>temel hak ve özgürlükleri düzenleyen hükümlerini yorumlamak ve bunların uygulanmasını gözetmektir.</w:t>
      </w:r>
      <w:r w:rsidR="00A5622E" w:rsidRPr="00C47AC0">
        <w:rPr>
          <w:rFonts w:ascii="Palatino Linotype" w:hAnsi="Palatino Linotype" w:cs="Times New Roman"/>
        </w:rPr>
        <w:t xml:space="preserve"> Dolayısıyla </w:t>
      </w:r>
      <w:r w:rsidR="00AE78E5" w:rsidRPr="00C47AC0">
        <w:rPr>
          <w:rFonts w:ascii="Palatino Linotype" w:hAnsi="Palatino Linotype" w:cs="Times New Roman"/>
          <w:bCs/>
        </w:rPr>
        <w:t>AYM/AİHM’in bir bireysel başvuruda verdiği ihlâl kararı benzer diğer olaylar açısından da bağlayıcıdır ve kamu otoriteleri ve mahkemelerce dikkate alın</w:t>
      </w:r>
      <w:r w:rsidR="00A5622E" w:rsidRPr="00C47AC0">
        <w:rPr>
          <w:rFonts w:ascii="Palatino Linotype" w:hAnsi="Palatino Linotype" w:cs="Times New Roman"/>
          <w:bCs/>
        </w:rPr>
        <w:t>malıdır</w:t>
      </w:r>
      <w:r w:rsidR="00AE78E5" w:rsidRPr="00C47AC0">
        <w:rPr>
          <w:rFonts w:ascii="Palatino Linotype" w:hAnsi="Palatino Linotype" w:cs="Times New Roman"/>
          <w:bCs/>
        </w:rPr>
        <w:t>. Bu nedenle bireysel başvurudan beklenen faydanın sağlanabilmesi için bireysel başvurunun objektif işlevi ön plana çıkarılmalı ve bireysel başvuru kararlarının genel (</w:t>
      </w:r>
      <w:proofErr w:type="spellStart"/>
      <w:r w:rsidR="00AE78E5" w:rsidRPr="00C47AC0">
        <w:rPr>
          <w:rFonts w:ascii="Palatino Linotype" w:hAnsi="Palatino Linotype" w:cs="Times New Roman"/>
          <w:bCs/>
          <w:i/>
          <w:iCs/>
        </w:rPr>
        <w:t>erga</w:t>
      </w:r>
      <w:proofErr w:type="spellEnd"/>
      <w:r w:rsidR="00AE78E5" w:rsidRPr="00C47AC0">
        <w:rPr>
          <w:rFonts w:ascii="Palatino Linotype" w:hAnsi="Palatino Linotype" w:cs="Times New Roman"/>
          <w:bCs/>
          <w:i/>
          <w:iCs/>
        </w:rPr>
        <w:t xml:space="preserve"> </w:t>
      </w:r>
      <w:proofErr w:type="spellStart"/>
      <w:r w:rsidR="00AE78E5" w:rsidRPr="00C47AC0">
        <w:rPr>
          <w:rFonts w:ascii="Palatino Linotype" w:hAnsi="Palatino Linotype" w:cs="Times New Roman"/>
          <w:bCs/>
          <w:i/>
          <w:iCs/>
        </w:rPr>
        <w:t>omnes</w:t>
      </w:r>
      <w:proofErr w:type="spellEnd"/>
      <w:r w:rsidR="00AE78E5" w:rsidRPr="00C47AC0">
        <w:rPr>
          <w:rFonts w:ascii="Palatino Linotype" w:hAnsi="Palatino Linotype" w:cs="Times New Roman"/>
          <w:bCs/>
        </w:rPr>
        <w:t>) bağlayıcılığı hayata geçiril</w:t>
      </w:r>
      <w:r w:rsidR="00A5622E" w:rsidRPr="00C47AC0">
        <w:rPr>
          <w:rFonts w:ascii="Palatino Linotype" w:hAnsi="Palatino Linotype" w:cs="Times New Roman"/>
          <w:bCs/>
        </w:rPr>
        <w:t xml:space="preserve">melidir. </w:t>
      </w:r>
      <w:r w:rsidR="00AE78E5" w:rsidRPr="00C47AC0">
        <w:rPr>
          <w:rFonts w:ascii="Palatino Linotype" w:hAnsi="Palatino Linotype" w:cs="Times New Roman"/>
          <w:bCs/>
        </w:rPr>
        <w:t xml:space="preserve">Yani AYM/AİHM bir konuda ihlâl kararı verdikten sonra kamu idareleri uygulamalarını, diğer mahkemeler de kararlarını AYM/AİHM kararı ile uyumlu hale getirmelidir. Esasen bu, </w:t>
      </w:r>
      <w:r w:rsidR="00A5622E" w:rsidRPr="00C47AC0">
        <w:rPr>
          <w:rFonts w:ascii="Palatino Linotype" w:hAnsi="Palatino Linotype" w:cs="Times New Roman"/>
          <w:bCs/>
        </w:rPr>
        <w:t>AİHM/</w:t>
      </w:r>
      <w:r w:rsidR="00AE78E5" w:rsidRPr="00C47AC0">
        <w:rPr>
          <w:rFonts w:ascii="Palatino Linotype" w:hAnsi="Palatino Linotype" w:cs="Times New Roman"/>
          <w:bCs/>
        </w:rPr>
        <w:t xml:space="preserve">AYM’nin de belirttiği gibi, bireysel başvuru yolunun ve AYM/AİHM’in yetkisinin </w:t>
      </w:r>
      <w:r w:rsidR="00AE78E5" w:rsidRPr="00C47AC0">
        <w:rPr>
          <w:rFonts w:ascii="Palatino Linotype" w:hAnsi="Palatino Linotype" w:cs="Times New Roman"/>
          <w:bCs/>
          <w:i/>
          <w:iCs/>
        </w:rPr>
        <w:t>“ikincilliği”</w:t>
      </w:r>
      <w:r w:rsidR="00AE78E5" w:rsidRPr="00C47AC0">
        <w:rPr>
          <w:rFonts w:ascii="Palatino Linotype" w:hAnsi="Palatino Linotype" w:cs="Times New Roman"/>
          <w:bCs/>
        </w:rPr>
        <w:t xml:space="preserve"> ilkesinin de gereğidir. Bu nedenle zaten Anayasa Mahkemesine</w:t>
      </w:r>
      <w:r w:rsidR="00A5622E" w:rsidRPr="00C47AC0">
        <w:rPr>
          <w:rFonts w:ascii="Palatino Linotype" w:hAnsi="Palatino Linotype" w:cs="Times New Roman"/>
          <w:bCs/>
        </w:rPr>
        <w:t xml:space="preserve"> ve dolayısıyla AİHM’e</w:t>
      </w:r>
      <w:r w:rsidR="00AE78E5" w:rsidRPr="00C47AC0">
        <w:rPr>
          <w:rFonts w:ascii="Palatino Linotype" w:hAnsi="Palatino Linotype" w:cs="Times New Roman"/>
          <w:bCs/>
        </w:rPr>
        <w:t xml:space="preserve"> başvurmadan önce diğer hukuk yollarının tüketilmesi koşulu getirilmiştir. Temel hak ve özgürlüklerin öncelikle kamu makamları ve derece mahkemeleri tarafından korunması gerekir.</w:t>
      </w:r>
      <w:r w:rsidR="0098439E" w:rsidRPr="00C47AC0">
        <w:rPr>
          <w:rFonts w:ascii="Palatino Linotype" w:hAnsi="Palatino Linotype" w:cs="Times New Roman"/>
        </w:rPr>
        <w:t xml:space="preserve"> </w:t>
      </w:r>
    </w:p>
    <w:p w14:paraId="30756F25" w14:textId="77777777" w:rsidR="00CC34E0" w:rsidRPr="00C47AC0" w:rsidRDefault="00DD4EB8" w:rsidP="000927EB">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Anayasa’nın 138. maddesi genel olarak yargı kararlarının, 153. maddesi ise özel olarak Anayasa Mahkemesi kararlarının bağlayıcılığını açık ve kesin bir dille düzenlemektedir. Buna göre, “</w:t>
      </w:r>
      <w:r w:rsidRPr="00C47AC0">
        <w:rPr>
          <w:rFonts w:ascii="Palatino Linotype" w:hAnsi="Palatino Linotype" w:cs="Times New Roman"/>
          <w:i/>
          <w:iCs/>
        </w:rPr>
        <w:t>yasama ve yürütme organları ile idare, mahkeme kararlarına uymak zorundadır</w:t>
      </w:r>
      <w:r w:rsidRPr="00C47AC0">
        <w:rPr>
          <w:rFonts w:ascii="Palatino Linotype" w:hAnsi="Palatino Linotype" w:cs="Times New Roman"/>
        </w:rPr>
        <w:t>” (m. 138) ve Anayasa Mahkemesinin kararları “</w:t>
      </w:r>
      <w:r w:rsidRPr="00C47AC0">
        <w:rPr>
          <w:rFonts w:ascii="Palatino Linotype" w:hAnsi="Palatino Linotype" w:cs="Times New Roman"/>
          <w:i/>
          <w:iCs/>
        </w:rPr>
        <w:t>yasama, yürütme ve yargı organlarını, idare makamlarını, gerçek ve tüzelkişileri bağlar</w:t>
      </w:r>
      <w:r w:rsidRPr="00C47AC0">
        <w:rPr>
          <w:rFonts w:ascii="Palatino Linotype" w:hAnsi="Palatino Linotype" w:cs="Times New Roman"/>
        </w:rPr>
        <w:t>” (m.153).</w:t>
      </w:r>
      <w:r w:rsidRPr="00C47AC0">
        <w:rPr>
          <w:rFonts w:ascii="Palatino Linotype" w:hAnsi="Palatino Linotype" w:cs="Times New Roman"/>
          <w:color w:val="323232"/>
          <w:shd w:val="clear" w:color="auto" w:fill="FFFFFF"/>
        </w:rPr>
        <w:t xml:space="preserve"> </w:t>
      </w:r>
      <w:r w:rsidRPr="00C47AC0">
        <w:rPr>
          <w:rFonts w:ascii="Palatino Linotype" w:hAnsi="Palatino Linotype" w:cs="Times New Roman"/>
        </w:rPr>
        <w:t xml:space="preserve">Anayasa Mahkemesi kararlarında vurgulandığı üzere, Anayasa'nın 153. maddesinin son fıkrasında Anayasa Mahkemesi </w:t>
      </w:r>
      <w:r w:rsidRPr="00C47AC0">
        <w:rPr>
          <w:rFonts w:ascii="Palatino Linotype" w:hAnsi="Palatino Linotype" w:cs="Times New Roman"/>
        </w:rPr>
        <w:lastRenderedPageBreak/>
        <w:t>kararlarına uyma ve bu kararları değiştirmeksizin yerine getirme hususunda yargı dâhil hiçbir kuruma herhangi bir takdir yetkisi tanınmamış veya bu konuda bir istisnaya yer verilmemiştir</w:t>
      </w:r>
      <w:r w:rsidR="00CC34E0" w:rsidRPr="00C47AC0">
        <w:rPr>
          <w:rFonts w:ascii="Palatino Linotype" w:hAnsi="Palatino Linotype" w:cs="Times New Roman"/>
        </w:rPr>
        <w:t xml:space="preserve"> </w:t>
      </w:r>
      <w:r w:rsidRPr="00C47AC0">
        <w:rPr>
          <w:rFonts w:ascii="Palatino Linotype" w:hAnsi="Palatino Linotype" w:cs="Times New Roman"/>
        </w:rPr>
        <w:t>(Aym:</w:t>
      </w:r>
      <w:r w:rsidRPr="00C47AC0">
        <w:rPr>
          <w:rFonts w:ascii="Palatino Linotype" w:hAnsi="Palatino Linotype" w:cs="Times New Roman"/>
          <w:i/>
          <w:iCs/>
          <w:color w:val="323232"/>
          <w:shd w:val="clear" w:color="auto" w:fill="FFFFFF"/>
        </w:rPr>
        <w:t xml:space="preserve"> </w:t>
      </w:r>
      <w:r w:rsidRPr="00C47AC0">
        <w:rPr>
          <w:rFonts w:ascii="Palatino Linotype" w:hAnsi="Palatino Linotype" w:cs="Times New Roman"/>
          <w:i/>
          <w:iCs/>
        </w:rPr>
        <w:t>Şahin Alpay (2)</w:t>
      </w:r>
      <w:r w:rsidRPr="00C47AC0">
        <w:rPr>
          <w:rFonts w:ascii="Palatino Linotype" w:hAnsi="Palatino Linotype" w:cs="Times New Roman"/>
        </w:rPr>
        <w:t> [GK], B. No: 2018/3007, 15/3/2018, § 63; </w:t>
      </w:r>
      <w:r w:rsidRPr="00C47AC0">
        <w:rPr>
          <w:rFonts w:ascii="Palatino Linotype" w:hAnsi="Palatino Linotype" w:cs="Times New Roman"/>
          <w:i/>
          <w:iCs/>
        </w:rPr>
        <w:t>Kadri Enis Berberoğlu (3)</w:t>
      </w:r>
      <w:r w:rsidRPr="00C47AC0">
        <w:rPr>
          <w:rFonts w:ascii="Palatino Linotype" w:hAnsi="Palatino Linotype" w:cs="Times New Roman"/>
        </w:rPr>
        <w:t>, § 102).</w:t>
      </w:r>
    </w:p>
    <w:p w14:paraId="38871179" w14:textId="55939B85" w:rsidR="00CC34E0" w:rsidRPr="00C47AC0" w:rsidRDefault="00DD4EB8" w:rsidP="00826D44">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 xml:space="preserve">Avrupa İnsan Hakları Mahkemesi kararları, Avrupa İnsan Hakları Sözleşmesi’ne taraf Devletler açısından bağlayıcıdır. Sözleşmesi’nin 46. </w:t>
      </w:r>
      <w:r w:rsidR="00CC1997" w:rsidRPr="00C47AC0">
        <w:rPr>
          <w:rFonts w:ascii="Palatino Linotype" w:hAnsi="Palatino Linotype" w:cs="Times New Roman"/>
        </w:rPr>
        <w:t>m</w:t>
      </w:r>
      <w:r w:rsidRPr="00C47AC0">
        <w:rPr>
          <w:rFonts w:ascii="Palatino Linotype" w:hAnsi="Palatino Linotype" w:cs="Times New Roman"/>
        </w:rPr>
        <w:t>addesinin 1. fıkrasına göre, Sözleşmeci Taraflar, taraf oldukları davalarda Mahkemenin kesinleşmiş kararlarına uymayı taahhüt ederler</w:t>
      </w:r>
      <w:r w:rsidR="00CC34E0" w:rsidRPr="00C47AC0">
        <w:rPr>
          <w:rFonts w:ascii="Palatino Linotype" w:hAnsi="Palatino Linotype" w:cs="Times New Roman"/>
        </w:rPr>
        <w:t>.</w:t>
      </w:r>
      <w:r w:rsidR="0098439E" w:rsidRPr="00C47AC0">
        <w:rPr>
          <w:rFonts w:ascii="Palatino Linotype" w:hAnsi="Palatino Linotype" w:cs="Times New Roman"/>
        </w:rPr>
        <w:t xml:space="preserve"> </w:t>
      </w:r>
      <w:r w:rsidR="0098439E" w:rsidRPr="00C47AC0">
        <w:rPr>
          <w:rFonts w:ascii="Palatino Linotype" w:hAnsi="Palatino Linotype" w:cs="Times New Roman"/>
          <w:b/>
          <w:bCs/>
        </w:rPr>
        <w:t>AİHS</w:t>
      </w:r>
      <w:r w:rsidR="00CC1997" w:rsidRPr="00C47AC0">
        <w:rPr>
          <w:rFonts w:ascii="Palatino Linotype" w:hAnsi="Palatino Linotype" w:cs="Times New Roman"/>
          <w:b/>
          <w:bCs/>
        </w:rPr>
        <w:t>’in</w:t>
      </w:r>
      <w:r w:rsidR="0098439E" w:rsidRPr="00C47AC0">
        <w:rPr>
          <w:rFonts w:ascii="Palatino Linotype" w:hAnsi="Palatino Linotype" w:cs="Times New Roman"/>
          <w:b/>
          <w:bCs/>
        </w:rPr>
        <w:t xml:space="preserve"> 46. </w:t>
      </w:r>
      <w:r w:rsidR="00CC1997" w:rsidRPr="00C47AC0">
        <w:rPr>
          <w:rFonts w:ascii="Palatino Linotype" w:hAnsi="Palatino Linotype" w:cs="Times New Roman"/>
          <w:b/>
          <w:bCs/>
        </w:rPr>
        <w:t>m</w:t>
      </w:r>
      <w:r w:rsidR="0098439E" w:rsidRPr="00C47AC0">
        <w:rPr>
          <w:rFonts w:ascii="Palatino Linotype" w:hAnsi="Palatino Linotype" w:cs="Times New Roman"/>
          <w:b/>
          <w:bCs/>
        </w:rPr>
        <w:t>adde</w:t>
      </w:r>
      <w:r w:rsidR="00CC1997" w:rsidRPr="00C47AC0">
        <w:rPr>
          <w:rFonts w:ascii="Palatino Linotype" w:hAnsi="Palatino Linotype" w:cs="Times New Roman"/>
          <w:b/>
          <w:bCs/>
        </w:rPr>
        <w:t>si</w:t>
      </w:r>
      <w:r w:rsidR="0098439E" w:rsidRPr="00C47AC0">
        <w:rPr>
          <w:rFonts w:ascii="Palatino Linotype" w:hAnsi="Palatino Linotype" w:cs="Times New Roman"/>
          <w:b/>
          <w:bCs/>
        </w:rPr>
        <w:t xml:space="preserve"> gereği</w:t>
      </w:r>
      <w:r w:rsidR="00CC1997" w:rsidRPr="00C47AC0">
        <w:rPr>
          <w:rFonts w:ascii="Palatino Linotype" w:hAnsi="Palatino Linotype" w:cs="Times New Roman"/>
          <w:b/>
          <w:bCs/>
        </w:rPr>
        <w:t>nce</w:t>
      </w:r>
      <w:r w:rsidR="0098439E" w:rsidRPr="00C47AC0">
        <w:rPr>
          <w:rFonts w:ascii="Palatino Linotype" w:hAnsi="Palatino Linotype" w:cs="Times New Roman"/>
          <w:b/>
          <w:bCs/>
        </w:rPr>
        <w:t xml:space="preserve"> Türkiye bu karara uymak zorundadır. Bunun için bir kanuni düzenlemeye gerek yoktur. Yargı kurumları doğrudan bu içtihada uymakla mükellef olup bugüne kadar da bunun birçok örneği olmuştur.</w:t>
      </w:r>
    </w:p>
    <w:p w14:paraId="73F62854" w14:textId="77777777" w:rsidR="00060B5D" w:rsidRPr="00C47AC0" w:rsidRDefault="00DD4EB8" w:rsidP="004978F0">
      <w:pPr>
        <w:pStyle w:val="ListeParagraf"/>
        <w:numPr>
          <w:ilvl w:val="0"/>
          <w:numId w:val="2"/>
        </w:numPr>
        <w:tabs>
          <w:tab w:val="left" w:pos="3870"/>
        </w:tabs>
        <w:spacing w:line="360" w:lineRule="auto"/>
        <w:ind w:left="630" w:right="-378"/>
        <w:jc w:val="both"/>
        <w:rPr>
          <w:rFonts w:ascii="Palatino Linotype" w:hAnsi="Palatino Linotype" w:cs="Times New Roman"/>
          <w:b/>
          <w:bCs/>
        </w:rPr>
      </w:pPr>
      <w:r w:rsidRPr="00C47AC0">
        <w:rPr>
          <w:rFonts w:ascii="Palatino Linotype" w:hAnsi="Palatino Linotype" w:cs="Times New Roman"/>
        </w:rPr>
        <w:t>İlgili Devlet ihlali sona erdirmek ve mümkün olduğunca ihlal öncesi durumu yeniden sağlayacak şekilde ihlalin sonuçlarını giderme yükümlülüğü altındadır</w:t>
      </w:r>
      <w:r w:rsidR="00CC34E0" w:rsidRPr="00C47AC0">
        <w:rPr>
          <w:rFonts w:ascii="Palatino Linotype" w:hAnsi="Palatino Linotype" w:cs="Times New Roman"/>
        </w:rPr>
        <w:t xml:space="preserve">. </w:t>
      </w:r>
      <w:r w:rsidRPr="00C47AC0">
        <w:rPr>
          <w:rFonts w:ascii="Palatino Linotype" w:hAnsi="Palatino Linotype" w:cs="Times New Roman"/>
        </w:rPr>
        <w:t xml:space="preserve">Türkiye Cumhuriyeti AİHS’e taraf bir devlettir. AİHS’e taraf devlet olmak, AİHM’in zorunlu yargı yetkisini tanımayı ve bu yargı yetkisinin kullanılması sonucu verilen ihlal kararlarının gerektirdiği ihlal giderici tedbirleri almayı gerektirmektedir. AİHM kararlarının ihlal giderici önlemler gerektirmesi devlet sorumluluğu hukukunun temel ilkelerinin insan hakları hukuku alanında uygulanmasının doğal bir sonucudur. Devlet sorumluluğu hukukunun temel ilkeleri uluslararası hukukun tüm alanlarında geçerlidir ve AİHM bu ilkeler doğrultusunda karar vermekte, insan hakları kararlarının uygulanmasını takip eden ve Türkiye’nin de temsil edildiği Avrupa Konseyi Bakanlar Komitesi kararlarının uygulanmasını bu ilkeler doğrultusunda denetlemektedir. Buna göre, uluslararası hukukta bir kuralın ihlal edilmesi demek, adaletin bozulduğu anlamına gelmektedir. Bu adaletin tesis edilmesi için bu ihlalin devam ediyorsa sonlandırılması, mümkünse ortadan kaldırılması, bütünüyle ortadan kaldırılması mümkün değilse de zararın tazmin edilmesi gerekmektedir. Bir başka deyişle, </w:t>
      </w:r>
      <w:r w:rsidRPr="00C47AC0">
        <w:rPr>
          <w:rFonts w:ascii="Palatino Linotype" w:hAnsi="Palatino Linotype" w:cs="Times New Roman"/>
          <w:b/>
          <w:bCs/>
        </w:rPr>
        <w:t>AİHM’in kararının anlamı, uluslararası hukuka aykırılığın ulusal hukuk tarafından ortadan kaldırılması gerekliliğinin saptanmasıdır. Bu saptamanın ardından ihlali giderme ödevi ulusal mercilerindir.</w:t>
      </w:r>
    </w:p>
    <w:p w14:paraId="1F9C4795" w14:textId="7534F7CA" w:rsidR="00AE4031" w:rsidRPr="00C47AC0" w:rsidRDefault="00060B5D" w:rsidP="00924F0F">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Türkiye</w:t>
      </w:r>
      <w:r w:rsidR="00AE4031" w:rsidRPr="00C47AC0">
        <w:rPr>
          <w:rFonts w:ascii="Palatino Linotype" w:hAnsi="Palatino Linotype" w:cs="Times New Roman"/>
        </w:rPr>
        <w:t>’de</w:t>
      </w:r>
      <w:r w:rsidRPr="00C47AC0">
        <w:rPr>
          <w:rFonts w:ascii="Palatino Linotype" w:hAnsi="Palatino Linotype" w:cs="Times New Roman"/>
        </w:rPr>
        <w:t xml:space="preserve"> </w:t>
      </w:r>
      <w:proofErr w:type="gramStart"/>
      <w:r w:rsidRPr="00C47AC0">
        <w:rPr>
          <w:rFonts w:ascii="Palatino Linotype" w:hAnsi="Palatino Linotype" w:cs="Times New Roman"/>
        </w:rPr>
        <w:t>de,</w:t>
      </w:r>
      <w:proofErr w:type="gramEnd"/>
      <w:r w:rsidRPr="00C47AC0">
        <w:rPr>
          <w:rFonts w:ascii="Palatino Linotype" w:hAnsi="Palatino Linotype" w:cs="Times New Roman"/>
        </w:rPr>
        <w:t xml:space="preserve"> </w:t>
      </w:r>
      <w:r w:rsidR="00AE4031" w:rsidRPr="00C47AC0">
        <w:rPr>
          <w:rFonts w:ascii="Palatino Linotype" w:hAnsi="Palatino Linotype" w:cs="Times New Roman"/>
        </w:rPr>
        <w:t xml:space="preserve">Yasama, Yürütme ve Yargı </w:t>
      </w:r>
      <w:r w:rsidRPr="00C47AC0">
        <w:rPr>
          <w:rFonts w:ascii="Palatino Linotype" w:hAnsi="Palatino Linotype" w:cs="Times New Roman"/>
        </w:rPr>
        <w:t>Anayasanın 90. ve Sözleşme’nin 46</w:t>
      </w:r>
      <w:r w:rsidR="00CC1997" w:rsidRPr="00C47AC0">
        <w:rPr>
          <w:rFonts w:ascii="Palatino Linotype" w:hAnsi="Palatino Linotype" w:cs="Times New Roman"/>
        </w:rPr>
        <w:t xml:space="preserve">. </w:t>
      </w:r>
      <w:r w:rsidR="00924F0F" w:rsidRPr="00C47AC0">
        <w:rPr>
          <w:rFonts w:ascii="Palatino Linotype" w:hAnsi="Palatino Linotype" w:cs="Times New Roman"/>
        </w:rPr>
        <w:t>m</w:t>
      </w:r>
      <w:r w:rsidR="00CC1997" w:rsidRPr="00C47AC0">
        <w:rPr>
          <w:rFonts w:ascii="Palatino Linotype" w:hAnsi="Palatino Linotype" w:cs="Times New Roman"/>
        </w:rPr>
        <w:t>addeleri gereği</w:t>
      </w:r>
      <w:r w:rsidR="00AE4031" w:rsidRPr="00C47AC0">
        <w:rPr>
          <w:rFonts w:ascii="Palatino Linotype" w:hAnsi="Palatino Linotype" w:cs="Times New Roman"/>
        </w:rPr>
        <w:t xml:space="preserve"> tespit edilen ihlali gidermekle yükümlüdürler.</w:t>
      </w:r>
    </w:p>
    <w:p w14:paraId="440A4E5F" w14:textId="77777777" w:rsidR="00924F0F" w:rsidRPr="00C47AC0" w:rsidRDefault="00924F0F" w:rsidP="00924F0F">
      <w:pPr>
        <w:pStyle w:val="ListeParagraf"/>
        <w:numPr>
          <w:ilvl w:val="0"/>
          <w:numId w:val="2"/>
        </w:numPr>
        <w:tabs>
          <w:tab w:val="left" w:pos="3870"/>
        </w:tabs>
        <w:spacing w:line="360" w:lineRule="auto"/>
        <w:ind w:left="630" w:right="-378"/>
        <w:jc w:val="both"/>
        <w:rPr>
          <w:rFonts w:ascii="Palatino Linotype" w:hAnsi="Palatino Linotype" w:cs="Times New Roman"/>
        </w:rPr>
      </w:pPr>
    </w:p>
    <w:p w14:paraId="1D2E4254" w14:textId="0C12FB1E" w:rsidR="00F508CA" w:rsidRPr="00C47AC0" w:rsidRDefault="00AE4031" w:rsidP="00AE4031">
      <w:pPr>
        <w:pStyle w:val="ListeParagraf"/>
        <w:tabs>
          <w:tab w:val="left" w:pos="3870"/>
        </w:tabs>
        <w:spacing w:line="360" w:lineRule="auto"/>
        <w:ind w:left="0" w:right="-378"/>
        <w:jc w:val="both"/>
        <w:rPr>
          <w:rFonts w:ascii="Palatino Linotype" w:hAnsi="Palatino Linotype" w:cs="Times New Roman"/>
          <w:b/>
          <w:bCs/>
        </w:rPr>
      </w:pPr>
      <w:r w:rsidRPr="00C47AC0">
        <w:rPr>
          <w:rFonts w:ascii="Palatino Linotype" w:hAnsi="Palatino Linotype" w:cs="Times New Roman"/>
          <w:b/>
          <w:bCs/>
        </w:rPr>
        <w:t>V. Talep</w:t>
      </w:r>
    </w:p>
    <w:p w14:paraId="3DCDF22B" w14:textId="07D37981" w:rsidR="00DC5A41" w:rsidRPr="00382C15" w:rsidRDefault="00F508CA" w:rsidP="00DC5A41">
      <w:pPr>
        <w:pStyle w:val="ListeParagraf"/>
        <w:numPr>
          <w:ilvl w:val="0"/>
          <w:numId w:val="3"/>
        </w:numPr>
        <w:tabs>
          <w:tab w:val="left" w:pos="3870"/>
        </w:tabs>
        <w:spacing w:line="360" w:lineRule="auto"/>
        <w:ind w:left="990" w:right="-378"/>
        <w:jc w:val="both"/>
        <w:rPr>
          <w:rFonts w:ascii="Palatino Linotype" w:hAnsi="Palatino Linotype" w:cs="Times New Roman"/>
          <w:bCs/>
          <w:color w:val="010000"/>
          <w:highlight w:val="yellow"/>
          <w:shd w:val="clear" w:color="auto" w:fill="FFFFFF"/>
        </w:rPr>
      </w:pPr>
      <w:r w:rsidRPr="00382C15">
        <w:rPr>
          <w:rFonts w:ascii="Palatino Linotype" w:hAnsi="Palatino Linotype" w:cs="Times New Roman"/>
          <w:bCs/>
          <w:color w:val="010000"/>
          <w:highlight w:val="yellow"/>
          <w:shd w:val="clear" w:color="auto" w:fill="FFFFFF"/>
        </w:rPr>
        <w:lastRenderedPageBreak/>
        <w:t>AİHM’in Yüksel Yalçınkaya kararında Sözleşme’nin 6. maddes</w:t>
      </w:r>
      <w:r w:rsidR="00BC24A5" w:rsidRPr="00382C15">
        <w:rPr>
          <w:rFonts w:ascii="Palatino Linotype" w:hAnsi="Palatino Linotype" w:cs="Times New Roman"/>
          <w:bCs/>
          <w:color w:val="010000"/>
          <w:highlight w:val="yellow"/>
          <w:shd w:val="clear" w:color="auto" w:fill="FFFFFF"/>
        </w:rPr>
        <w:t>i</w:t>
      </w:r>
      <w:r w:rsidRPr="00382C15">
        <w:rPr>
          <w:rFonts w:ascii="Palatino Linotype" w:hAnsi="Palatino Linotype" w:cs="Times New Roman"/>
          <w:bCs/>
          <w:color w:val="010000"/>
          <w:highlight w:val="yellow"/>
          <w:shd w:val="clear" w:color="auto" w:fill="FFFFFF"/>
        </w:rPr>
        <w:t xml:space="preserve"> kapsamında Bylock </w:t>
      </w:r>
      <w:r w:rsidR="00BC24A5" w:rsidRPr="00382C15">
        <w:rPr>
          <w:rFonts w:ascii="Palatino Linotype" w:hAnsi="Palatino Linotype" w:cs="Times New Roman"/>
          <w:bCs/>
          <w:color w:val="010000"/>
          <w:highlight w:val="yellow"/>
          <w:shd w:val="clear" w:color="auto" w:fill="FFFFFF"/>
        </w:rPr>
        <w:t xml:space="preserve">ile ilgili verdiği ihlal gerekçelerinin tamamı </w:t>
      </w:r>
      <w:r w:rsidR="00BC24A5" w:rsidRPr="006C1FA0">
        <w:rPr>
          <w:rFonts w:ascii="Palatino Linotype" w:hAnsi="Palatino Linotype" w:cs="Times New Roman"/>
          <w:bCs/>
          <w:color w:val="010000"/>
          <w:highlight w:val="green"/>
          <w:shd w:val="clear" w:color="auto" w:fill="FFFFFF"/>
        </w:rPr>
        <w:t>hakkı</w:t>
      </w:r>
      <w:r w:rsidR="009C6702" w:rsidRPr="006C1FA0">
        <w:rPr>
          <w:rFonts w:ascii="Palatino Linotype" w:hAnsi="Palatino Linotype" w:cs="Times New Roman"/>
          <w:bCs/>
          <w:color w:val="010000"/>
          <w:highlight w:val="green"/>
          <w:shd w:val="clear" w:color="auto" w:fill="FFFFFF"/>
        </w:rPr>
        <w:t>m</w:t>
      </w:r>
      <w:r w:rsidR="00BC24A5" w:rsidRPr="006C1FA0">
        <w:rPr>
          <w:rFonts w:ascii="Palatino Linotype" w:hAnsi="Palatino Linotype" w:cs="Times New Roman"/>
          <w:bCs/>
          <w:color w:val="010000"/>
          <w:highlight w:val="green"/>
          <w:shd w:val="clear" w:color="auto" w:fill="FFFFFF"/>
        </w:rPr>
        <w:t>da da</w:t>
      </w:r>
      <w:r w:rsidR="006C1FA0" w:rsidRPr="006C1FA0">
        <w:rPr>
          <w:rFonts w:ascii="Palatino Linotype" w:hAnsi="Palatino Linotype" w:cs="Times New Roman"/>
          <w:bCs/>
          <w:color w:val="010000"/>
          <w:highlight w:val="green"/>
          <w:shd w:val="clear" w:color="auto" w:fill="FFFFFF"/>
        </w:rPr>
        <w:t>/eşim hakkında da</w:t>
      </w:r>
      <w:r w:rsidR="00BC24A5" w:rsidRPr="006C1FA0">
        <w:rPr>
          <w:rFonts w:ascii="Palatino Linotype" w:hAnsi="Palatino Linotype" w:cs="Times New Roman"/>
          <w:bCs/>
          <w:color w:val="010000"/>
          <w:highlight w:val="green"/>
          <w:shd w:val="clear" w:color="auto" w:fill="FFFFFF"/>
        </w:rPr>
        <w:t xml:space="preserve"> </w:t>
      </w:r>
      <w:r w:rsidR="00BC24A5" w:rsidRPr="00382C15">
        <w:rPr>
          <w:rFonts w:ascii="Palatino Linotype" w:hAnsi="Palatino Linotype" w:cs="Times New Roman"/>
          <w:bCs/>
          <w:color w:val="010000"/>
          <w:highlight w:val="yellow"/>
          <w:shd w:val="clear" w:color="auto" w:fill="FFFFFF"/>
        </w:rPr>
        <w:t>geçeli olup ihale gerekçe yapılan hususların silahların eşitliği ve çelişmeli yargılama ilkeleri gereğince giderilme</w:t>
      </w:r>
      <w:r w:rsidR="00221D24" w:rsidRPr="00382C15">
        <w:rPr>
          <w:rFonts w:ascii="Palatino Linotype" w:hAnsi="Palatino Linotype" w:cs="Times New Roman"/>
          <w:bCs/>
          <w:color w:val="010000"/>
          <w:highlight w:val="yellow"/>
          <w:shd w:val="clear" w:color="auto" w:fill="FFFFFF"/>
        </w:rPr>
        <w:t>si</w:t>
      </w:r>
      <w:r w:rsidR="00681B83" w:rsidRPr="00382C15">
        <w:rPr>
          <w:rFonts w:ascii="Palatino Linotype" w:hAnsi="Palatino Linotype" w:cs="Times New Roman"/>
          <w:bCs/>
          <w:color w:val="010000"/>
          <w:highlight w:val="yellow"/>
          <w:shd w:val="clear" w:color="auto" w:fill="FFFFFF"/>
        </w:rPr>
        <w:t>ni</w:t>
      </w:r>
      <w:r w:rsidR="00221D24" w:rsidRPr="00382C15">
        <w:rPr>
          <w:rFonts w:ascii="Palatino Linotype" w:hAnsi="Palatino Linotype" w:cs="Times New Roman"/>
          <w:bCs/>
          <w:color w:val="010000"/>
          <w:highlight w:val="yellow"/>
          <w:shd w:val="clear" w:color="auto" w:fill="FFFFFF"/>
        </w:rPr>
        <w:t>,</w:t>
      </w:r>
      <w:r w:rsidR="00382C15">
        <w:rPr>
          <w:rFonts w:ascii="Palatino Linotype" w:hAnsi="Palatino Linotype" w:cs="Times New Roman"/>
          <w:bCs/>
          <w:color w:val="010000"/>
          <w:highlight w:val="yellow"/>
          <w:shd w:val="clear" w:color="auto" w:fill="FFFFFF"/>
        </w:rPr>
        <w:t xml:space="preserve"> </w:t>
      </w:r>
      <w:r w:rsidR="00382C15" w:rsidRPr="00382C15">
        <w:rPr>
          <w:rFonts w:ascii="Palatino Linotype" w:hAnsi="Palatino Linotype" w:cs="Times New Roman"/>
          <w:bCs/>
          <w:color w:val="010000"/>
          <w:highlight w:val="green"/>
          <w:shd w:val="clear" w:color="auto" w:fill="FFFFFF"/>
        </w:rPr>
        <w:t>(Hakkında Bylock iddiası olanlar için</w:t>
      </w:r>
      <w:r w:rsidR="005A714C">
        <w:rPr>
          <w:rFonts w:ascii="Palatino Linotype" w:hAnsi="Palatino Linotype" w:cs="Times New Roman"/>
          <w:bCs/>
          <w:color w:val="010000"/>
          <w:highlight w:val="green"/>
          <w:shd w:val="clear" w:color="auto" w:fill="FFFFFF"/>
        </w:rPr>
        <w:t>. Olmayanlar bu paragrafı çıkar</w:t>
      </w:r>
      <w:r w:rsidR="00B74D34">
        <w:rPr>
          <w:rFonts w:ascii="Palatino Linotype" w:hAnsi="Palatino Linotype" w:cs="Times New Roman"/>
          <w:bCs/>
          <w:color w:val="010000"/>
          <w:highlight w:val="green"/>
          <w:shd w:val="clear" w:color="auto" w:fill="FFFFFF"/>
        </w:rPr>
        <w:t>malı</w:t>
      </w:r>
      <w:r w:rsidR="00382C15" w:rsidRPr="00382C15">
        <w:rPr>
          <w:rFonts w:ascii="Palatino Linotype" w:hAnsi="Palatino Linotype" w:cs="Times New Roman"/>
          <w:bCs/>
          <w:color w:val="010000"/>
          <w:highlight w:val="green"/>
          <w:shd w:val="clear" w:color="auto" w:fill="FFFFFF"/>
        </w:rPr>
        <w:t>)</w:t>
      </w:r>
    </w:p>
    <w:p w14:paraId="265424C6" w14:textId="44993547" w:rsidR="00CC1997" w:rsidRPr="00B70657" w:rsidRDefault="00013342" w:rsidP="00DC5A41">
      <w:pPr>
        <w:pStyle w:val="ListeParagraf"/>
        <w:numPr>
          <w:ilvl w:val="0"/>
          <w:numId w:val="3"/>
        </w:numPr>
        <w:tabs>
          <w:tab w:val="left" w:pos="3870"/>
        </w:tabs>
        <w:spacing w:line="360" w:lineRule="auto"/>
        <w:ind w:left="990" w:right="-378"/>
        <w:jc w:val="both"/>
        <w:rPr>
          <w:rFonts w:ascii="Palatino Linotype" w:hAnsi="Palatino Linotype" w:cs="Times New Roman"/>
          <w:bCs/>
          <w:color w:val="010000"/>
          <w:shd w:val="clear" w:color="auto" w:fill="FFFFFF"/>
        </w:rPr>
      </w:pPr>
      <w:r w:rsidRPr="00C47AC0">
        <w:rPr>
          <w:rFonts w:ascii="Palatino Linotype" w:hAnsi="Palatino Linotype" w:cs="Times New Roman"/>
          <w:color w:val="010000"/>
          <w:shd w:val="clear" w:color="auto" w:fill="FFFFFF"/>
        </w:rPr>
        <w:t xml:space="preserve">AİHM’in </w:t>
      </w:r>
      <w:r w:rsidR="00AE4031" w:rsidRPr="00C47AC0">
        <w:rPr>
          <w:rFonts w:ascii="Palatino Linotype" w:hAnsi="Palatino Linotype" w:cs="Times New Roman"/>
          <w:color w:val="010000"/>
          <w:shd w:val="clear" w:color="auto" w:fill="FFFFFF"/>
        </w:rPr>
        <w:t>Yalçınkaya kararı</w:t>
      </w:r>
      <w:r w:rsidRPr="00C47AC0">
        <w:rPr>
          <w:rFonts w:ascii="Palatino Linotype" w:hAnsi="Palatino Linotype" w:cs="Times New Roman"/>
          <w:color w:val="010000"/>
          <w:shd w:val="clear" w:color="auto" w:fill="FFFFFF"/>
        </w:rPr>
        <w:t>nda</w:t>
      </w:r>
      <w:r w:rsidR="00CC1997" w:rsidRPr="00C47AC0">
        <w:rPr>
          <w:rFonts w:ascii="Palatino Linotype" w:hAnsi="Palatino Linotype" w:cs="Times New Roman"/>
          <w:color w:val="010000"/>
          <w:shd w:val="clear" w:color="auto" w:fill="FFFFFF"/>
        </w:rPr>
        <w:t xml:space="preserve"> </w:t>
      </w:r>
      <w:r w:rsidRPr="00C47AC0">
        <w:rPr>
          <w:rFonts w:ascii="Palatino Linotype" w:hAnsi="Palatino Linotype" w:cs="Times New Roman"/>
          <w:color w:val="010000"/>
          <w:shd w:val="clear" w:color="auto" w:fill="FFFFFF"/>
        </w:rPr>
        <w:t xml:space="preserve">Sözleşme’nin </w:t>
      </w:r>
      <w:r w:rsidR="00CC1997" w:rsidRPr="00C47AC0">
        <w:rPr>
          <w:rFonts w:ascii="Palatino Linotype" w:hAnsi="Palatino Linotype" w:cs="Times New Roman"/>
          <w:color w:val="010000"/>
          <w:shd w:val="clear" w:color="auto" w:fill="FFFFFF"/>
        </w:rPr>
        <w:t xml:space="preserve">7. </w:t>
      </w:r>
      <w:r w:rsidRPr="00C47AC0">
        <w:rPr>
          <w:rFonts w:ascii="Palatino Linotype" w:hAnsi="Palatino Linotype" w:cs="Times New Roman"/>
          <w:color w:val="010000"/>
          <w:shd w:val="clear" w:color="auto" w:fill="FFFFFF"/>
        </w:rPr>
        <w:t>m</w:t>
      </w:r>
      <w:r w:rsidR="00CC1997" w:rsidRPr="00C47AC0">
        <w:rPr>
          <w:rFonts w:ascii="Palatino Linotype" w:hAnsi="Palatino Linotype" w:cs="Times New Roman"/>
          <w:color w:val="010000"/>
          <w:shd w:val="clear" w:color="auto" w:fill="FFFFFF"/>
        </w:rPr>
        <w:t>addesin</w:t>
      </w:r>
      <w:r w:rsidRPr="00C47AC0">
        <w:rPr>
          <w:rFonts w:ascii="Palatino Linotype" w:hAnsi="Palatino Linotype" w:cs="Times New Roman"/>
          <w:color w:val="010000"/>
          <w:shd w:val="clear" w:color="auto" w:fill="FFFFFF"/>
        </w:rPr>
        <w:t>in</w:t>
      </w:r>
      <w:r w:rsidR="00CC1997" w:rsidRPr="00C47AC0">
        <w:rPr>
          <w:rFonts w:ascii="Palatino Linotype" w:hAnsi="Palatino Linotype" w:cs="Times New Roman"/>
          <w:color w:val="010000"/>
          <w:shd w:val="clear" w:color="auto" w:fill="FFFFFF"/>
        </w:rPr>
        <w:t xml:space="preserve"> ihlal gerekçesinin özü</w:t>
      </w:r>
      <w:r w:rsidRPr="00C47AC0">
        <w:rPr>
          <w:rFonts w:ascii="Palatino Linotype" w:hAnsi="Palatino Linotype" w:cs="Times New Roman"/>
          <w:color w:val="010000"/>
          <w:shd w:val="clear" w:color="auto" w:fill="FFFFFF"/>
        </w:rPr>
        <w:t xml:space="preserve"> olan</w:t>
      </w:r>
      <w:r w:rsidR="00CC1997" w:rsidRPr="00C47AC0">
        <w:rPr>
          <w:rFonts w:ascii="Palatino Linotype" w:hAnsi="Palatino Linotype" w:cs="Times New Roman"/>
          <w:color w:val="010000"/>
          <w:shd w:val="clear" w:color="auto" w:fill="FFFFFF"/>
        </w:rPr>
        <w:t xml:space="preserve"> suçun maddi ve manevi unsurunun oluşup oluşmadığı araştırılmadan ve sanki delil olarak gösterilen hususlar suçun unsurları yerine ikame edilerek otomatik ceza verilmesi </w:t>
      </w:r>
      <w:r w:rsidRPr="00C47AC0">
        <w:rPr>
          <w:rFonts w:ascii="Palatino Linotype" w:hAnsi="Palatino Linotype" w:cs="Times New Roman"/>
          <w:color w:val="010000"/>
          <w:shd w:val="clear" w:color="auto" w:fill="FFFFFF"/>
        </w:rPr>
        <w:t xml:space="preserve">hususu </w:t>
      </w:r>
      <w:r w:rsidR="009C6702">
        <w:rPr>
          <w:rFonts w:ascii="Palatino Linotype" w:hAnsi="Palatino Linotype" w:cs="Times New Roman"/>
          <w:color w:val="010000"/>
          <w:shd w:val="clear" w:color="auto" w:fill="FFFFFF"/>
        </w:rPr>
        <w:t xml:space="preserve">benim </w:t>
      </w:r>
      <w:r w:rsidR="00CC1997" w:rsidRPr="00C47AC0">
        <w:rPr>
          <w:rFonts w:ascii="Palatino Linotype" w:hAnsi="Palatino Linotype" w:cs="Times New Roman"/>
          <w:color w:val="010000"/>
          <w:shd w:val="clear" w:color="auto" w:fill="FFFFFF"/>
        </w:rPr>
        <w:t>için de geçerlidir.</w:t>
      </w:r>
      <w:r w:rsidR="004F0048" w:rsidRPr="00C47AC0">
        <w:rPr>
          <w:rFonts w:ascii="Palatino Linotype" w:hAnsi="Palatino Linotype" w:cs="Times New Roman"/>
          <w:color w:val="010000"/>
          <w:shd w:val="clear" w:color="auto" w:fill="FFFFFF"/>
        </w:rPr>
        <w:t xml:space="preserve"> </w:t>
      </w:r>
      <w:r w:rsidRPr="00C47AC0">
        <w:rPr>
          <w:rFonts w:ascii="Palatino Linotype" w:hAnsi="Palatino Linotype" w:cs="Times New Roman"/>
          <w:color w:val="010000"/>
          <w:shd w:val="clear" w:color="auto" w:fill="FFFFFF"/>
        </w:rPr>
        <w:t xml:space="preserve">Çok önemli bir ihlal nedeni olan bu husus </w:t>
      </w:r>
      <w:r w:rsidR="00533040" w:rsidRPr="00C47AC0">
        <w:rPr>
          <w:rFonts w:ascii="Palatino Linotype" w:hAnsi="Palatino Linotype" w:cs="Times New Roman"/>
          <w:color w:val="010000"/>
          <w:shd w:val="clear" w:color="auto" w:fill="FFFFFF"/>
        </w:rPr>
        <w:t>dolayısıyla</w:t>
      </w:r>
      <w:r w:rsidR="004F0048" w:rsidRPr="00C47AC0">
        <w:rPr>
          <w:rFonts w:ascii="Palatino Linotype" w:hAnsi="Palatino Linotype" w:cs="Times New Roman"/>
          <w:color w:val="010000"/>
          <w:shd w:val="clear" w:color="auto" w:fill="FFFFFF"/>
        </w:rPr>
        <w:t xml:space="preserve"> insanların hangi delillerle suçlandığının bir önemi yoktur. Çünkü, ortada delil değerlendirmesine ge</w:t>
      </w:r>
      <w:r w:rsidR="003B099C" w:rsidRPr="00C47AC0">
        <w:rPr>
          <w:rFonts w:ascii="Palatino Linotype" w:hAnsi="Palatino Linotype" w:cs="Times New Roman"/>
          <w:color w:val="010000"/>
          <w:shd w:val="clear" w:color="auto" w:fill="FFFFFF"/>
        </w:rPr>
        <w:t>çilmeden</w:t>
      </w:r>
      <w:r w:rsidR="004F0048" w:rsidRPr="00C47AC0">
        <w:rPr>
          <w:rFonts w:ascii="Palatino Linotype" w:hAnsi="Palatino Linotype" w:cs="Times New Roman"/>
          <w:color w:val="010000"/>
          <w:shd w:val="clear" w:color="auto" w:fill="FFFFFF"/>
        </w:rPr>
        <w:t xml:space="preserve"> halledilmesi gereken daha önemli bir sorun vardır.</w:t>
      </w:r>
      <w:r w:rsidR="003B099C" w:rsidRPr="00C47AC0">
        <w:rPr>
          <w:rFonts w:ascii="Palatino Linotype" w:hAnsi="Palatino Linotype" w:cs="Times New Roman"/>
          <w:color w:val="010000"/>
          <w:shd w:val="clear" w:color="auto" w:fill="FFFFFF"/>
        </w:rPr>
        <w:t xml:space="preserve"> Zira eldeki delillerin cezalandırmada kullanılabilmeleri öncelikle suçun unsurlarının </w:t>
      </w:r>
      <w:r w:rsidR="00533040" w:rsidRPr="00C47AC0">
        <w:rPr>
          <w:rFonts w:ascii="Palatino Linotype" w:hAnsi="Palatino Linotype" w:cs="Times New Roman"/>
          <w:color w:val="010000"/>
          <w:shd w:val="clear" w:color="auto" w:fill="FFFFFF"/>
        </w:rPr>
        <w:t>varlığına</w:t>
      </w:r>
      <w:r w:rsidR="003B099C" w:rsidRPr="00C47AC0">
        <w:rPr>
          <w:rFonts w:ascii="Palatino Linotype" w:hAnsi="Palatino Linotype" w:cs="Times New Roman"/>
          <w:color w:val="010000"/>
          <w:shd w:val="clear" w:color="auto" w:fill="FFFFFF"/>
        </w:rPr>
        <w:t xml:space="preserve"> bağlıdır. Aksi takdirde AİHM’in Yalçınkaya kararında vurguladığı, delillerin suçun unsurlarının yerine ikamesi ve otomatik cezalandırma durumu ortaya çıkar</w:t>
      </w:r>
      <w:r w:rsidR="00533040" w:rsidRPr="00C47AC0">
        <w:rPr>
          <w:rFonts w:ascii="Palatino Linotype" w:hAnsi="Palatino Linotype" w:cs="Times New Roman"/>
          <w:color w:val="010000"/>
          <w:shd w:val="clear" w:color="auto" w:fill="FFFFFF"/>
        </w:rPr>
        <w:t>acaktır</w:t>
      </w:r>
      <w:r w:rsidR="003B099C" w:rsidRPr="00C47AC0">
        <w:rPr>
          <w:rFonts w:ascii="Palatino Linotype" w:hAnsi="Palatino Linotype" w:cs="Times New Roman"/>
          <w:color w:val="010000"/>
          <w:shd w:val="clear" w:color="auto" w:fill="FFFFFF"/>
        </w:rPr>
        <w:t>. Mevcut</w:t>
      </w:r>
      <w:r w:rsidR="00CC1997" w:rsidRPr="00C47AC0">
        <w:rPr>
          <w:rFonts w:ascii="Palatino Linotype" w:hAnsi="Palatino Linotype" w:cs="Times New Roman"/>
          <w:color w:val="010000"/>
          <w:shd w:val="clear" w:color="auto" w:fill="FFFFFF"/>
        </w:rPr>
        <w:t xml:space="preserve"> dosyada </w:t>
      </w:r>
      <w:r w:rsidR="004F0048" w:rsidRPr="00C47AC0">
        <w:rPr>
          <w:rFonts w:ascii="Palatino Linotype" w:hAnsi="Palatino Linotype" w:cs="Times New Roman"/>
          <w:color w:val="010000"/>
          <w:shd w:val="clear" w:color="auto" w:fill="FFFFFF"/>
        </w:rPr>
        <w:t xml:space="preserve">suçun maddi unsuru olan hiyerarşik yapıya dahil olma ortaya konulmadığı gibi </w:t>
      </w:r>
      <w:r w:rsidR="009C6702" w:rsidRPr="006C1FA0">
        <w:rPr>
          <w:rFonts w:ascii="Palatino Linotype" w:hAnsi="Palatino Linotype" w:cs="Times New Roman"/>
          <w:color w:val="010000"/>
          <w:highlight w:val="yellow"/>
          <w:shd w:val="clear" w:color="auto" w:fill="FFFFFF"/>
        </w:rPr>
        <w:t>benim</w:t>
      </w:r>
      <w:r w:rsidR="006C1FA0" w:rsidRPr="006C1FA0">
        <w:rPr>
          <w:rFonts w:ascii="Palatino Linotype" w:hAnsi="Palatino Linotype" w:cs="Times New Roman"/>
          <w:color w:val="010000"/>
          <w:highlight w:val="yellow"/>
          <w:shd w:val="clear" w:color="auto" w:fill="FFFFFF"/>
        </w:rPr>
        <w:t>/eşimin</w:t>
      </w:r>
      <w:r w:rsidR="004F0048" w:rsidRPr="00C47AC0">
        <w:rPr>
          <w:rFonts w:ascii="Palatino Linotype" w:hAnsi="Palatino Linotype" w:cs="Times New Roman"/>
          <w:color w:val="010000"/>
          <w:shd w:val="clear" w:color="auto" w:fill="FFFFFF"/>
        </w:rPr>
        <w:t xml:space="preserve"> manevi unsur </w:t>
      </w:r>
      <w:r w:rsidR="003B099C" w:rsidRPr="00C47AC0">
        <w:rPr>
          <w:rFonts w:ascii="Palatino Linotype" w:hAnsi="Palatino Linotype" w:cs="Times New Roman"/>
          <w:color w:val="010000"/>
          <w:shd w:val="clear" w:color="auto" w:fill="FFFFFF"/>
        </w:rPr>
        <w:t xml:space="preserve">ve nihai amaç </w:t>
      </w:r>
      <w:r w:rsidR="004F0048" w:rsidRPr="00C47AC0">
        <w:rPr>
          <w:rFonts w:ascii="Palatino Linotype" w:hAnsi="Palatino Linotype" w:cs="Times New Roman"/>
          <w:color w:val="010000"/>
          <w:shd w:val="clear" w:color="auto" w:fill="FFFFFF"/>
        </w:rPr>
        <w:t xml:space="preserve">kabul edilen anayasal düzeni cebir ve şiddetle ortadan kaldırma (darbe teşebbüsü) hususunu </w:t>
      </w:r>
      <w:r w:rsidR="004F0048" w:rsidRPr="00685A23">
        <w:rPr>
          <w:rFonts w:ascii="Palatino Linotype" w:hAnsi="Palatino Linotype" w:cs="Times New Roman"/>
          <w:color w:val="010000"/>
          <w:highlight w:val="yellow"/>
          <w:shd w:val="clear" w:color="auto" w:fill="FFFFFF"/>
        </w:rPr>
        <w:t>bildiği</w:t>
      </w:r>
      <w:r w:rsidR="009C6702" w:rsidRPr="00685A23">
        <w:rPr>
          <w:rFonts w:ascii="Palatino Linotype" w:hAnsi="Palatino Linotype" w:cs="Times New Roman"/>
          <w:color w:val="010000"/>
          <w:highlight w:val="yellow"/>
          <w:shd w:val="clear" w:color="auto" w:fill="FFFFFF"/>
        </w:rPr>
        <w:t>m</w:t>
      </w:r>
      <w:r w:rsidR="00685A23" w:rsidRPr="00685A23">
        <w:rPr>
          <w:rFonts w:ascii="Palatino Linotype" w:hAnsi="Palatino Linotype" w:cs="Times New Roman"/>
          <w:color w:val="010000"/>
          <w:highlight w:val="yellow"/>
          <w:shd w:val="clear" w:color="auto" w:fill="FFFFFF"/>
        </w:rPr>
        <w:t>/bildiği</w:t>
      </w:r>
      <w:r w:rsidR="004F0048" w:rsidRPr="00C47AC0">
        <w:rPr>
          <w:rFonts w:ascii="Palatino Linotype" w:hAnsi="Palatino Linotype" w:cs="Times New Roman"/>
          <w:color w:val="010000"/>
          <w:shd w:val="clear" w:color="auto" w:fill="FFFFFF"/>
        </w:rPr>
        <w:t xml:space="preserve"> ve bunun gerçekleşmesini </w:t>
      </w:r>
      <w:r w:rsidR="004F0048" w:rsidRPr="00685A23">
        <w:rPr>
          <w:rFonts w:ascii="Palatino Linotype" w:hAnsi="Palatino Linotype" w:cs="Times New Roman"/>
          <w:color w:val="010000"/>
          <w:highlight w:val="yellow"/>
          <w:shd w:val="clear" w:color="auto" w:fill="FFFFFF"/>
        </w:rPr>
        <w:t>istediği</w:t>
      </w:r>
      <w:r w:rsidR="009C6702" w:rsidRPr="00685A23">
        <w:rPr>
          <w:rFonts w:ascii="Palatino Linotype" w:hAnsi="Palatino Linotype" w:cs="Times New Roman"/>
          <w:color w:val="010000"/>
          <w:highlight w:val="yellow"/>
          <w:shd w:val="clear" w:color="auto" w:fill="FFFFFF"/>
        </w:rPr>
        <w:t>m</w:t>
      </w:r>
      <w:r w:rsidR="00685A23" w:rsidRPr="00685A23">
        <w:rPr>
          <w:rFonts w:ascii="Palatino Linotype" w:hAnsi="Palatino Linotype" w:cs="Times New Roman"/>
          <w:color w:val="010000"/>
          <w:highlight w:val="yellow"/>
          <w:shd w:val="clear" w:color="auto" w:fill="FFFFFF"/>
        </w:rPr>
        <w:t>/istediği</w:t>
      </w:r>
      <w:r w:rsidR="004F0048" w:rsidRPr="00C47AC0">
        <w:rPr>
          <w:rFonts w:ascii="Palatino Linotype" w:hAnsi="Palatino Linotype" w:cs="Times New Roman"/>
          <w:color w:val="010000"/>
          <w:shd w:val="clear" w:color="auto" w:fill="FFFFFF"/>
        </w:rPr>
        <w:t xml:space="preserve"> </w:t>
      </w:r>
      <w:r w:rsidR="00221D24" w:rsidRPr="00B74D34">
        <w:rPr>
          <w:rFonts w:ascii="Palatino Linotype" w:hAnsi="Palatino Linotype" w:cs="Times New Roman"/>
          <w:color w:val="010000"/>
          <w:shd w:val="clear" w:color="auto" w:fill="FFFFFF"/>
        </w:rPr>
        <w:t>soruşturma kapsamında/</w:t>
      </w:r>
      <w:r w:rsidR="004F0048" w:rsidRPr="00B74D34">
        <w:rPr>
          <w:rFonts w:ascii="Palatino Linotype" w:hAnsi="Palatino Linotype" w:cs="Times New Roman"/>
          <w:color w:val="010000"/>
          <w:shd w:val="clear" w:color="auto" w:fill="FFFFFF"/>
        </w:rPr>
        <w:t>ne iddianame ne de yargılama da</w:t>
      </w:r>
      <w:r w:rsidR="004F0048" w:rsidRPr="00C47AC0">
        <w:rPr>
          <w:rFonts w:ascii="Palatino Linotype" w:hAnsi="Palatino Linotype" w:cs="Times New Roman"/>
          <w:color w:val="010000"/>
          <w:shd w:val="clear" w:color="auto" w:fill="FFFFFF"/>
        </w:rPr>
        <w:t xml:space="preserve"> ortaya konulamamış ve hatta bu konuda hiçbir araştırma yapılmamıştır. Suçun unsurlarının </w:t>
      </w:r>
      <w:r w:rsidR="009C6702" w:rsidRPr="00685A23">
        <w:rPr>
          <w:rFonts w:ascii="Palatino Linotype" w:hAnsi="Palatino Linotype" w:cs="Times New Roman"/>
          <w:color w:val="010000"/>
          <w:highlight w:val="yellow"/>
          <w:shd w:val="clear" w:color="auto" w:fill="FFFFFF"/>
        </w:rPr>
        <w:t xml:space="preserve">benim </w:t>
      </w:r>
      <w:r w:rsidR="004F0048" w:rsidRPr="00685A23">
        <w:rPr>
          <w:rFonts w:ascii="Palatino Linotype" w:hAnsi="Palatino Linotype" w:cs="Times New Roman"/>
          <w:color w:val="010000"/>
          <w:highlight w:val="yellow"/>
          <w:shd w:val="clear" w:color="auto" w:fill="FFFFFF"/>
        </w:rPr>
        <w:t>açı</w:t>
      </w:r>
      <w:r w:rsidR="009C6702" w:rsidRPr="00685A23">
        <w:rPr>
          <w:rFonts w:ascii="Palatino Linotype" w:hAnsi="Palatino Linotype" w:cs="Times New Roman"/>
          <w:color w:val="010000"/>
          <w:highlight w:val="yellow"/>
          <w:shd w:val="clear" w:color="auto" w:fill="FFFFFF"/>
        </w:rPr>
        <w:t>mdan</w:t>
      </w:r>
      <w:r w:rsidR="00685A23" w:rsidRPr="00685A23">
        <w:rPr>
          <w:rFonts w:ascii="Palatino Linotype" w:hAnsi="Palatino Linotype" w:cs="Times New Roman"/>
          <w:color w:val="010000"/>
          <w:highlight w:val="yellow"/>
          <w:shd w:val="clear" w:color="auto" w:fill="FFFFFF"/>
        </w:rPr>
        <w:t>/eşim açısından</w:t>
      </w:r>
      <w:r w:rsidR="004F0048" w:rsidRPr="00C47AC0">
        <w:rPr>
          <w:rFonts w:ascii="Palatino Linotype" w:hAnsi="Palatino Linotype" w:cs="Times New Roman"/>
          <w:color w:val="010000"/>
          <w:shd w:val="clear" w:color="auto" w:fill="FFFFFF"/>
        </w:rPr>
        <w:t xml:space="preserve"> gerçekleştiğini gösterir dosyada hiçbir delil yoktur. </w:t>
      </w:r>
      <w:r w:rsidR="009C6702" w:rsidRPr="00685A23">
        <w:rPr>
          <w:rFonts w:ascii="Palatino Linotype" w:hAnsi="Palatino Linotype" w:cs="Times New Roman"/>
          <w:color w:val="010000"/>
          <w:highlight w:val="yellow"/>
          <w:shd w:val="clear" w:color="auto" w:fill="FFFFFF"/>
        </w:rPr>
        <w:t>Şahsıma</w:t>
      </w:r>
      <w:r w:rsidR="00685A23" w:rsidRPr="00685A23">
        <w:rPr>
          <w:rFonts w:ascii="Palatino Linotype" w:hAnsi="Palatino Linotype" w:cs="Times New Roman"/>
          <w:color w:val="010000"/>
          <w:highlight w:val="yellow"/>
          <w:shd w:val="clear" w:color="auto" w:fill="FFFFFF"/>
        </w:rPr>
        <w:t>/eşime</w:t>
      </w:r>
      <w:r w:rsidR="004F0048" w:rsidRPr="00C47AC0">
        <w:rPr>
          <w:rFonts w:ascii="Palatino Linotype" w:hAnsi="Palatino Linotype" w:cs="Times New Roman"/>
          <w:color w:val="010000"/>
          <w:shd w:val="clear" w:color="auto" w:fill="FFFFFF"/>
        </w:rPr>
        <w:t xml:space="preserve"> isnat edilen hususlar yasal ve rutin faaliyetlerdir. </w:t>
      </w:r>
      <w:r w:rsidR="00533040" w:rsidRPr="00C47AC0">
        <w:rPr>
          <w:rFonts w:ascii="Palatino Linotype" w:hAnsi="Palatino Linotype" w:cs="Times New Roman"/>
          <w:color w:val="010000"/>
          <w:shd w:val="clear" w:color="auto" w:fill="FFFFFF"/>
        </w:rPr>
        <w:t>S</w:t>
      </w:r>
      <w:r w:rsidR="004F0048" w:rsidRPr="00C47AC0">
        <w:rPr>
          <w:rFonts w:ascii="Palatino Linotype" w:hAnsi="Palatino Linotype" w:cs="Times New Roman"/>
          <w:color w:val="010000"/>
          <w:shd w:val="clear" w:color="auto" w:fill="FFFFFF"/>
        </w:rPr>
        <w:t xml:space="preserve">uçun unsurlarının </w:t>
      </w:r>
      <w:r w:rsidR="009C6702">
        <w:rPr>
          <w:rFonts w:ascii="Palatino Linotype" w:hAnsi="Palatino Linotype" w:cs="Times New Roman"/>
          <w:color w:val="010000"/>
          <w:shd w:val="clear" w:color="auto" w:fill="FFFFFF"/>
        </w:rPr>
        <w:t>hakkımda</w:t>
      </w:r>
      <w:r w:rsidR="004F0048" w:rsidRPr="00C47AC0">
        <w:rPr>
          <w:rFonts w:ascii="Palatino Linotype" w:hAnsi="Palatino Linotype" w:cs="Times New Roman"/>
          <w:color w:val="010000"/>
          <w:shd w:val="clear" w:color="auto" w:fill="FFFFFF"/>
        </w:rPr>
        <w:t xml:space="preserve"> gerçekleştiği ortaya konulamıyorsa, bu </w:t>
      </w:r>
      <w:r w:rsidR="00533040" w:rsidRPr="00C47AC0">
        <w:rPr>
          <w:rFonts w:ascii="Palatino Linotype" w:hAnsi="Palatino Linotype" w:cs="Times New Roman"/>
          <w:color w:val="010000"/>
          <w:shd w:val="clear" w:color="auto" w:fill="FFFFFF"/>
        </w:rPr>
        <w:t xml:space="preserve">durum </w:t>
      </w:r>
      <w:r w:rsidR="004F0048" w:rsidRPr="00C47AC0">
        <w:rPr>
          <w:rFonts w:ascii="Palatino Linotype" w:hAnsi="Palatino Linotype" w:cs="Times New Roman"/>
          <w:color w:val="010000"/>
          <w:shd w:val="clear" w:color="auto" w:fill="FFFFFF"/>
        </w:rPr>
        <w:t xml:space="preserve">isnat edilen suçun </w:t>
      </w:r>
      <w:r w:rsidR="009C6702" w:rsidRPr="00685A23">
        <w:rPr>
          <w:rFonts w:ascii="Palatino Linotype" w:hAnsi="Palatino Linotype" w:cs="Times New Roman"/>
          <w:color w:val="010000"/>
          <w:highlight w:val="yellow"/>
          <w:shd w:val="clear" w:color="auto" w:fill="FFFFFF"/>
        </w:rPr>
        <w:t>tarafımca</w:t>
      </w:r>
      <w:r w:rsidR="00685A23" w:rsidRPr="00685A23">
        <w:rPr>
          <w:rFonts w:ascii="Palatino Linotype" w:hAnsi="Palatino Linotype" w:cs="Times New Roman"/>
          <w:color w:val="010000"/>
          <w:highlight w:val="yellow"/>
          <w:shd w:val="clear" w:color="auto" w:fill="FFFFFF"/>
        </w:rPr>
        <w:t>/eşim tarafından</w:t>
      </w:r>
      <w:r w:rsidR="009C6702">
        <w:rPr>
          <w:rFonts w:ascii="Palatino Linotype" w:hAnsi="Palatino Linotype" w:cs="Times New Roman"/>
          <w:color w:val="010000"/>
          <w:shd w:val="clear" w:color="auto" w:fill="FFFFFF"/>
        </w:rPr>
        <w:t xml:space="preserve"> </w:t>
      </w:r>
      <w:r w:rsidR="004F0048" w:rsidRPr="00C47AC0">
        <w:rPr>
          <w:rFonts w:ascii="Palatino Linotype" w:hAnsi="Palatino Linotype" w:cs="Times New Roman"/>
          <w:color w:val="010000"/>
          <w:shd w:val="clear" w:color="auto" w:fill="FFFFFF"/>
        </w:rPr>
        <w:t>işlenmediğini gösterir</w:t>
      </w:r>
      <w:r w:rsidR="00221D24" w:rsidRPr="00C47AC0">
        <w:rPr>
          <w:rFonts w:ascii="Palatino Linotype" w:hAnsi="Palatino Linotype" w:cs="Times New Roman"/>
          <w:color w:val="010000"/>
          <w:shd w:val="clear" w:color="auto" w:fill="FFFFFF"/>
        </w:rPr>
        <w:t>. Bu nedenlerle</w:t>
      </w:r>
      <w:r w:rsidR="00681B83" w:rsidRPr="00C47AC0">
        <w:rPr>
          <w:rFonts w:ascii="Palatino Linotype" w:hAnsi="Palatino Linotype" w:cs="Times New Roman"/>
          <w:color w:val="010000"/>
          <w:shd w:val="clear" w:color="auto" w:fill="FFFFFF"/>
        </w:rPr>
        <w:t>,</w:t>
      </w:r>
      <w:r w:rsidR="00221D24" w:rsidRPr="00C47AC0">
        <w:rPr>
          <w:rFonts w:ascii="Palatino Linotype" w:hAnsi="Palatino Linotype" w:cs="Times New Roman"/>
          <w:color w:val="010000"/>
          <w:shd w:val="clear" w:color="auto" w:fill="FFFFFF"/>
        </w:rPr>
        <w:t xml:space="preserve"> </w:t>
      </w:r>
      <w:r w:rsidR="00221D24" w:rsidRPr="00685A23">
        <w:rPr>
          <w:rFonts w:ascii="Palatino Linotype" w:hAnsi="Palatino Linotype" w:cs="Times New Roman"/>
          <w:color w:val="010000"/>
          <w:highlight w:val="yellow"/>
          <w:shd w:val="clear" w:color="auto" w:fill="FFFFFF"/>
        </w:rPr>
        <w:t>hakkı</w:t>
      </w:r>
      <w:r w:rsidR="009C6702" w:rsidRPr="00685A23">
        <w:rPr>
          <w:rFonts w:ascii="Palatino Linotype" w:hAnsi="Palatino Linotype" w:cs="Times New Roman"/>
          <w:color w:val="010000"/>
          <w:highlight w:val="yellow"/>
          <w:shd w:val="clear" w:color="auto" w:fill="FFFFFF"/>
        </w:rPr>
        <w:t>m</w:t>
      </w:r>
      <w:r w:rsidR="00221D24" w:rsidRPr="00685A23">
        <w:rPr>
          <w:rFonts w:ascii="Palatino Linotype" w:hAnsi="Palatino Linotype" w:cs="Times New Roman"/>
          <w:color w:val="010000"/>
          <w:highlight w:val="yellow"/>
          <w:shd w:val="clear" w:color="auto" w:fill="FFFFFF"/>
        </w:rPr>
        <w:t>da</w:t>
      </w:r>
      <w:r w:rsidR="00685A23" w:rsidRPr="00685A23">
        <w:rPr>
          <w:rFonts w:ascii="Palatino Linotype" w:hAnsi="Palatino Linotype" w:cs="Times New Roman"/>
          <w:color w:val="010000"/>
          <w:highlight w:val="yellow"/>
          <w:shd w:val="clear" w:color="auto" w:fill="FFFFFF"/>
        </w:rPr>
        <w:t>/eşim hakkında</w:t>
      </w:r>
      <w:r w:rsidR="003B099C" w:rsidRPr="00685A23">
        <w:rPr>
          <w:rFonts w:ascii="Palatino Linotype" w:hAnsi="Palatino Linotype" w:cs="Times New Roman"/>
          <w:color w:val="010000"/>
          <w:highlight w:val="yellow"/>
          <w:shd w:val="clear" w:color="auto" w:fill="FFFFFF"/>
        </w:rPr>
        <w:t xml:space="preserve"> </w:t>
      </w:r>
      <w:r w:rsidR="003B099C" w:rsidRPr="00C47AC0">
        <w:rPr>
          <w:rFonts w:ascii="Palatino Linotype" w:hAnsi="Palatino Linotype" w:cs="Times New Roman"/>
          <w:color w:val="010000"/>
          <w:highlight w:val="yellow"/>
          <w:shd w:val="clear" w:color="auto" w:fill="FFFFFF"/>
        </w:rPr>
        <w:t xml:space="preserve">CMK’nın 223/2-b maddesindeki; </w:t>
      </w:r>
      <w:r w:rsidR="003B099C" w:rsidRPr="00C47AC0">
        <w:rPr>
          <w:rFonts w:ascii="Palatino Linotype" w:hAnsi="Palatino Linotype" w:cs="Times New Roman"/>
          <w:i/>
          <w:iCs/>
          <w:color w:val="010000"/>
          <w:highlight w:val="yellow"/>
          <w:shd w:val="clear" w:color="auto" w:fill="FFFFFF"/>
        </w:rPr>
        <w:t>“</w:t>
      </w:r>
      <w:r w:rsidR="003B099C" w:rsidRPr="00C47AC0">
        <w:rPr>
          <w:rFonts w:ascii="Palatino Linotype" w:hAnsi="Palatino Linotype"/>
          <w:i/>
          <w:iCs/>
          <w:highlight w:val="yellow"/>
        </w:rPr>
        <w:t>yüklenen suçun sanık tarafından işlenmediğinin sabit olması”</w:t>
      </w:r>
      <w:r w:rsidR="003B099C" w:rsidRPr="00C47AC0">
        <w:rPr>
          <w:rFonts w:ascii="Palatino Linotype" w:hAnsi="Palatino Linotype"/>
          <w:highlight w:val="yellow"/>
        </w:rPr>
        <w:t xml:space="preserve"> hüküm gereğince beraat hük</w:t>
      </w:r>
      <w:r w:rsidR="00533040" w:rsidRPr="00C47AC0">
        <w:rPr>
          <w:rFonts w:ascii="Palatino Linotype" w:hAnsi="Palatino Linotype"/>
          <w:highlight w:val="yellow"/>
        </w:rPr>
        <w:t>mü</w:t>
      </w:r>
      <w:r w:rsidR="003B099C" w:rsidRPr="00C47AC0">
        <w:rPr>
          <w:rFonts w:ascii="Palatino Linotype" w:hAnsi="Palatino Linotype"/>
          <w:highlight w:val="yellow"/>
        </w:rPr>
        <w:t xml:space="preserve"> kurulması</w:t>
      </w:r>
      <w:r w:rsidR="00924F0F" w:rsidRPr="00C47AC0">
        <w:rPr>
          <w:rFonts w:ascii="Palatino Linotype" w:hAnsi="Palatino Linotype"/>
          <w:highlight w:val="yellow"/>
        </w:rPr>
        <w:t>,</w:t>
      </w:r>
    </w:p>
    <w:p w14:paraId="69C90140" w14:textId="52DD04BF" w:rsidR="00B70657" w:rsidRPr="00CC545A" w:rsidRDefault="00B70657" w:rsidP="00B70657">
      <w:pPr>
        <w:pStyle w:val="ListeParagraf"/>
        <w:numPr>
          <w:ilvl w:val="0"/>
          <w:numId w:val="3"/>
        </w:numPr>
        <w:tabs>
          <w:tab w:val="left" w:pos="3870"/>
        </w:tabs>
        <w:spacing w:line="360" w:lineRule="auto"/>
        <w:ind w:left="990" w:right="-378"/>
        <w:jc w:val="both"/>
        <w:rPr>
          <w:rFonts w:ascii="Palatino Linotype" w:hAnsi="Palatino Linotype" w:cs="Times New Roman"/>
          <w:b/>
          <w:color w:val="010000"/>
          <w:u w:val="thick"/>
          <w:shd w:val="clear" w:color="auto" w:fill="FFFFFF"/>
        </w:rPr>
      </w:pPr>
      <w:r w:rsidRPr="00CC545A">
        <w:rPr>
          <w:rFonts w:ascii="Palatino Linotype" w:hAnsi="Palatino Linotype"/>
        </w:rPr>
        <w:t xml:space="preserve">AİHM Yalçınkaya kararında; AİHS’in, 7. ve 6. maddelerinin ihlalinin tespitine yol açan durumun, münferit bir olaydan kaynaklanmadığını veya olayların belirli bir şekilde gelişmesine atfedilemeyeceğini ve sistemik bir sorundan kaynaklandığının kabul edilebileceğini belirtmiştir. Mahkeme, sorunun binlerce kişiyi etkilediğini ve etkilemeye devam ettiğini vurgulamıştır. Kararının 413 ila 418. </w:t>
      </w:r>
      <w:r>
        <w:rPr>
          <w:rFonts w:ascii="Palatino Linotype" w:hAnsi="Palatino Linotype"/>
        </w:rPr>
        <w:t>p</w:t>
      </w:r>
      <w:r w:rsidRPr="00CC545A">
        <w:rPr>
          <w:rFonts w:ascii="Palatino Linotype" w:hAnsi="Palatino Linotype"/>
        </w:rPr>
        <w:t xml:space="preserve">aragrafları arasında ortaya </w:t>
      </w:r>
      <w:r w:rsidRPr="00CC545A">
        <w:rPr>
          <w:rFonts w:ascii="Palatino Linotype" w:hAnsi="Palatino Linotype"/>
        </w:rPr>
        <w:lastRenderedPageBreak/>
        <w:t xml:space="preserve">konulan tespit ve uyarılar, AİHS’in 46. ve Anayasa'nın 90/5. maddeleri gereğince iç hukukta bağlayıcı etkiye sahiptir. Yalçınkaya kararı davanın esasına ilişkin olup benzer davaları da esas yönüyle etkileyecektir ve AİHM'nin beklentisi de bu yöndedir. </w:t>
      </w:r>
      <w:r w:rsidRPr="00B70657">
        <w:rPr>
          <w:rFonts w:ascii="Palatino Linotype" w:hAnsi="Palatino Linotype"/>
          <w:b/>
          <w:bCs/>
          <w:u w:val="single"/>
        </w:rPr>
        <w:t xml:space="preserve">Gerek yerel </w:t>
      </w:r>
      <w:proofErr w:type="gramStart"/>
      <w:r w:rsidRPr="00B70657">
        <w:rPr>
          <w:rFonts w:ascii="Palatino Linotype" w:hAnsi="Palatino Linotype"/>
          <w:b/>
          <w:bCs/>
          <w:u w:val="single"/>
        </w:rPr>
        <w:t>mahkemelerin,</w:t>
      </w:r>
      <w:proofErr w:type="gramEnd"/>
      <w:r w:rsidRPr="00B70657">
        <w:rPr>
          <w:rFonts w:ascii="Palatino Linotype" w:hAnsi="Palatino Linotype"/>
          <w:b/>
          <w:bCs/>
          <w:u w:val="single"/>
        </w:rPr>
        <w:t xml:space="preserve"> gerek kanun yolu mercilerinin ve gerekse de Anayasa Mahkemesi’nin AİHS’in 6/1, 7 ve 11. maddeleri kapsamında verilen ihlal kararına ve bu kararda belirlenen ilkelere göre yargılama yapmaları, AİHS’in 46 ve Anayasa’nın 90. maddeleri gereğince bir tercih değil yasal zorunluluktur.</w:t>
      </w:r>
      <w:r w:rsidRPr="00CC545A">
        <w:rPr>
          <w:rFonts w:ascii="Palatino Linotype" w:hAnsi="Palatino Linotype"/>
        </w:rPr>
        <w:t xml:space="preserve"> </w:t>
      </w:r>
      <w:r w:rsidRPr="00B70657">
        <w:rPr>
          <w:rFonts w:ascii="Palatino Linotype" w:hAnsi="Palatino Linotype"/>
          <w:highlight w:val="yellow"/>
        </w:rPr>
        <w:t>Üzerime/Eşimin üzerine</w:t>
      </w:r>
      <w:r w:rsidRPr="00CC545A">
        <w:rPr>
          <w:rFonts w:ascii="Palatino Linotype" w:hAnsi="Palatino Linotype"/>
        </w:rPr>
        <w:t xml:space="preserve"> atılı suçun maddi ve manevi unsurlarının oluşmaması ve atılı bu suçu işlediği hususunda cezalandırılmasına yeter, her türlü şüpheden uzak, kesin ve inandırıcı delil bulunmamaktadır. Bu nedenlerle, </w:t>
      </w:r>
      <w:r w:rsidRPr="00B70657">
        <w:rPr>
          <w:rFonts w:ascii="Palatino Linotype" w:hAnsi="Palatino Linotype"/>
          <w:highlight w:val="yellow"/>
        </w:rPr>
        <w:t>durumum</w:t>
      </w:r>
      <w:r w:rsidRPr="00B70657">
        <w:rPr>
          <w:rFonts w:ascii="Palatino Linotype" w:hAnsi="Palatino Linotype" w:cs="Times New Roman"/>
          <w:color w:val="010000"/>
          <w:highlight w:val="yellow"/>
          <w:shd w:val="clear" w:color="auto" w:fill="FFFFFF"/>
        </w:rPr>
        <w:t xml:space="preserve">/eşimin </w:t>
      </w:r>
      <w:r>
        <w:rPr>
          <w:rFonts w:ascii="Palatino Linotype" w:hAnsi="Palatino Linotype" w:cs="Times New Roman"/>
          <w:color w:val="010000"/>
          <w:highlight w:val="yellow"/>
          <w:shd w:val="clear" w:color="auto" w:fill="FFFFFF"/>
        </w:rPr>
        <w:t>durumu</w:t>
      </w:r>
      <w:r w:rsidRPr="00CC545A">
        <w:rPr>
          <w:rFonts w:ascii="Palatino Linotype" w:hAnsi="Palatino Linotype" w:cs="Times New Roman"/>
          <w:color w:val="010000"/>
          <w:shd w:val="clear" w:color="auto" w:fill="FFFFFF"/>
        </w:rPr>
        <w:t xml:space="preserve">, </w:t>
      </w:r>
      <w:r w:rsidRPr="00CC545A">
        <w:rPr>
          <w:rFonts w:ascii="Palatino Linotype" w:hAnsi="Palatino Linotype"/>
        </w:rPr>
        <w:t xml:space="preserve">ekte sunduğumuz karar özetinden de anlaşılacağı üzere AİHM’in Yüksel Yalçınkaya kararına konu olay ile aynıdır. </w:t>
      </w:r>
      <w:r w:rsidRPr="00B70657">
        <w:rPr>
          <w:rFonts w:ascii="Palatino Linotype" w:hAnsi="Palatino Linotype"/>
          <w:highlight w:val="yellow"/>
        </w:rPr>
        <w:t>Hakkımdaki/eşim hakkındaki</w:t>
      </w:r>
      <w:r w:rsidRPr="00CC545A">
        <w:rPr>
          <w:rFonts w:ascii="Palatino Linotype" w:hAnsi="Palatino Linotype"/>
        </w:rPr>
        <w:t xml:space="preserve"> yargılama da aynı esaslara dayandığından, </w:t>
      </w:r>
      <w:r w:rsidRPr="00CC545A">
        <w:rPr>
          <w:rFonts w:ascii="Palatino Linotype" w:hAnsi="Palatino Linotype" w:cs="Times New Roman"/>
          <w:color w:val="010000"/>
          <w:shd w:val="clear" w:color="auto" w:fill="FFFFFF"/>
        </w:rPr>
        <w:t xml:space="preserve">talebimizin kabulüne ve Anayasa’nın 36, 90, 138, 153; AİHS’in 6, 7, 11, 46 ve 6216 sayılı Kanun’un 50. maddeleri gereğince hakkında </w:t>
      </w:r>
      <w:r w:rsidR="00FE698F" w:rsidRPr="00FE698F">
        <w:rPr>
          <w:rFonts w:ascii="Palatino Linotype" w:hAnsi="Palatino Linotype" w:cs="Times New Roman"/>
          <w:b/>
          <w:bCs/>
          <w:color w:val="010000"/>
          <w:shd w:val="clear" w:color="auto" w:fill="FFFFFF"/>
        </w:rPr>
        <w:t>BERAATINA</w:t>
      </w:r>
      <w:r w:rsidRPr="00FE698F">
        <w:rPr>
          <w:rFonts w:ascii="Palatino Linotype" w:hAnsi="Palatino Linotype" w:cs="Times New Roman"/>
          <w:b/>
          <w:bCs/>
          <w:color w:val="010000"/>
          <w:shd w:val="clear" w:color="auto" w:fill="FFFFFF"/>
        </w:rPr>
        <w:t xml:space="preserve"> </w:t>
      </w:r>
      <w:r w:rsidR="00B74D34" w:rsidRPr="00FE698F">
        <w:rPr>
          <w:rFonts w:ascii="Palatino Linotype" w:hAnsi="Palatino Linotype" w:cs="Times New Roman"/>
          <w:color w:val="010000"/>
          <w:shd w:val="clear" w:color="auto" w:fill="FFFFFF"/>
        </w:rPr>
        <w:t xml:space="preserve">ve </w:t>
      </w:r>
      <w:r w:rsidR="00FE698F" w:rsidRPr="00FE698F">
        <w:rPr>
          <w:rFonts w:ascii="Palatino Linotype" w:hAnsi="Palatino Linotype" w:cs="Times New Roman"/>
          <w:b/>
          <w:bCs/>
          <w:color w:val="010000"/>
          <w:shd w:val="clear" w:color="auto" w:fill="FFFFFF"/>
        </w:rPr>
        <w:t>TAHLİYESİNE</w:t>
      </w:r>
      <w:r w:rsidR="00B74D34">
        <w:rPr>
          <w:rFonts w:ascii="Palatino Linotype" w:hAnsi="Palatino Linotype" w:cs="Times New Roman"/>
          <w:color w:val="010000"/>
          <w:shd w:val="clear" w:color="auto" w:fill="FFFFFF"/>
        </w:rPr>
        <w:t xml:space="preserve"> </w:t>
      </w:r>
      <w:r w:rsidR="00B74D34" w:rsidRPr="00B74D34">
        <w:rPr>
          <w:rFonts w:ascii="Palatino Linotype" w:hAnsi="Palatino Linotype" w:cs="Times New Roman"/>
          <w:color w:val="010000"/>
          <w:highlight w:val="yellow"/>
          <w:shd w:val="clear" w:color="auto" w:fill="FFFFFF"/>
        </w:rPr>
        <w:t>(sanık tutuluysa)</w:t>
      </w:r>
      <w:r w:rsidR="00B74D34">
        <w:rPr>
          <w:rFonts w:ascii="Palatino Linotype" w:hAnsi="Palatino Linotype" w:cs="Times New Roman"/>
          <w:color w:val="010000"/>
          <w:shd w:val="clear" w:color="auto" w:fill="FFFFFF"/>
        </w:rPr>
        <w:t xml:space="preserve"> </w:t>
      </w:r>
      <w:r w:rsidRPr="00CC545A">
        <w:rPr>
          <w:rFonts w:ascii="Palatino Linotype" w:hAnsi="Palatino Linotype" w:cs="Times New Roman"/>
          <w:color w:val="010000"/>
          <w:shd w:val="clear" w:color="auto" w:fill="FFFFFF"/>
        </w:rPr>
        <w:t>karar verilmesi,</w:t>
      </w:r>
    </w:p>
    <w:p w14:paraId="0F718449" w14:textId="7A364200" w:rsidR="00CE2F22" w:rsidRPr="00C47AC0"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C47AC0">
        <w:rPr>
          <w:rFonts w:ascii="Palatino Linotype" w:hAnsi="Palatino Linotype" w:cs="Times New Roman"/>
          <w:color w:val="010000"/>
          <w:shd w:val="clear" w:color="auto" w:fill="FFFFFF"/>
        </w:rPr>
        <w:t>Saygılarımla arz ve talep olunur.</w:t>
      </w:r>
      <w:r w:rsidR="00AE4031" w:rsidRPr="00C47AC0">
        <w:rPr>
          <w:rFonts w:ascii="Palatino Linotype" w:hAnsi="Palatino Linotype" w:cs="Times New Roman"/>
          <w:color w:val="010000"/>
          <w:shd w:val="clear" w:color="auto" w:fill="FFFFFF"/>
        </w:rPr>
        <w:t xml:space="preserve">  </w:t>
      </w:r>
      <w:proofErr w:type="gramStart"/>
      <w:r w:rsidRPr="00C47AC0">
        <w:rPr>
          <w:rFonts w:ascii="Palatino Linotype" w:hAnsi="Palatino Linotype" w:cs="Times New Roman"/>
          <w:color w:val="010000"/>
          <w:shd w:val="clear" w:color="auto" w:fill="FFFFFF"/>
        </w:rPr>
        <w:t>…..</w:t>
      </w:r>
      <w:proofErr w:type="gramEnd"/>
      <w:r w:rsidRPr="00C47AC0">
        <w:rPr>
          <w:rFonts w:ascii="Palatino Linotype" w:hAnsi="Palatino Linotype" w:cs="Times New Roman"/>
          <w:color w:val="010000"/>
          <w:shd w:val="clear" w:color="auto" w:fill="FFFFFF"/>
        </w:rPr>
        <w:t>/…./2023</w:t>
      </w:r>
    </w:p>
    <w:p w14:paraId="5DA01CCA" w14:textId="77777777" w:rsidR="006112FE" w:rsidRPr="00C47AC0"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p>
    <w:p w14:paraId="11F41DA9" w14:textId="77777777" w:rsidR="006112FE" w:rsidRPr="00C47AC0"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p>
    <w:p w14:paraId="4099EA83" w14:textId="1F31C8C0" w:rsidR="006112FE" w:rsidRDefault="006112FE" w:rsidP="009C6702">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00446E20" w:rsidRPr="00C47AC0">
        <w:rPr>
          <w:rFonts w:ascii="Palatino Linotype" w:hAnsi="Palatino Linotype" w:cs="Times New Roman"/>
          <w:color w:val="010000"/>
          <w:shd w:val="clear" w:color="auto" w:fill="FFFFFF"/>
        </w:rPr>
        <w:t xml:space="preserve">       </w:t>
      </w:r>
      <w:r w:rsidR="00446E20" w:rsidRPr="00685A23">
        <w:rPr>
          <w:rFonts w:ascii="Palatino Linotype" w:hAnsi="Palatino Linotype" w:cs="Times New Roman"/>
          <w:color w:val="010000"/>
          <w:highlight w:val="yellow"/>
          <w:shd w:val="clear" w:color="auto" w:fill="FFFFFF"/>
        </w:rPr>
        <w:t xml:space="preserve">Şüpheli / Sanık / </w:t>
      </w:r>
      <w:r w:rsidRPr="00685A23">
        <w:rPr>
          <w:rFonts w:ascii="Palatino Linotype" w:hAnsi="Palatino Linotype" w:cs="Times New Roman"/>
          <w:color w:val="010000"/>
          <w:highlight w:val="yellow"/>
          <w:shd w:val="clear" w:color="auto" w:fill="FFFFFF"/>
        </w:rPr>
        <w:t>Hükümlü</w:t>
      </w:r>
      <w:r w:rsidR="00685A23" w:rsidRPr="00685A23">
        <w:rPr>
          <w:rFonts w:ascii="Palatino Linotype" w:hAnsi="Palatino Linotype" w:cs="Times New Roman"/>
          <w:color w:val="010000"/>
          <w:highlight w:val="yellow"/>
          <w:shd w:val="clear" w:color="auto" w:fill="FFFFFF"/>
        </w:rPr>
        <w:t>/Eşi</w:t>
      </w:r>
    </w:p>
    <w:p w14:paraId="5B82CE03" w14:textId="5C2EC393" w:rsidR="009C6702" w:rsidRPr="00C47AC0" w:rsidRDefault="009C6702" w:rsidP="009C6702">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t>İmza</w:t>
      </w:r>
    </w:p>
    <w:p w14:paraId="7F546AB3" w14:textId="77777777" w:rsidR="006112FE" w:rsidRPr="00C47AC0" w:rsidRDefault="006112FE"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563229C1" w14:textId="77777777" w:rsidR="00681B83" w:rsidRPr="00C47AC0" w:rsidRDefault="00681B83"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72DC683B" w14:textId="77777777" w:rsidR="004063DF" w:rsidRPr="00C47AC0" w:rsidRDefault="004063DF"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3A2A8DE2" w14:textId="773E7AC7" w:rsidR="00685A23" w:rsidRPr="00685A23" w:rsidRDefault="004063DF" w:rsidP="00685A23">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r w:rsidRPr="00C47AC0">
        <w:rPr>
          <w:rFonts w:ascii="Palatino Linotype" w:hAnsi="Palatino Linotype" w:cs="Times New Roman"/>
          <w:b/>
          <w:color w:val="010000"/>
          <w:u w:val="thick"/>
          <w:shd w:val="clear" w:color="auto" w:fill="FFFFFF"/>
        </w:rPr>
        <w:t>EK</w:t>
      </w:r>
      <w:r w:rsidR="00685A23">
        <w:rPr>
          <w:rFonts w:ascii="Palatino Linotype" w:hAnsi="Palatino Linotype" w:cs="Times New Roman"/>
          <w:b/>
          <w:color w:val="010000"/>
          <w:u w:val="thick"/>
          <w:shd w:val="clear" w:color="auto" w:fill="FFFFFF"/>
        </w:rPr>
        <w:t>’LER</w:t>
      </w:r>
    </w:p>
    <w:p w14:paraId="1D6F2A96" w14:textId="77777777" w:rsidR="00685A23" w:rsidRPr="000B65FA" w:rsidRDefault="00685A23" w:rsidP="00685A23">
      <w:pPr>
        <w:pStyle w:val="NormalWeb"/>
        <w:numPr>
          <w:ilvl w:val="0"/>
          <w:numId w:val="4"/>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00000"/>
        </w:rPr>
        <w:t>Nüfus Aile Kay</w:t>
      </w:r>
      <w:r>
        <w:rPr>
          <w:rFonts w:ascii="Palatino Linotype" w:hAnsi="Palatino Linotype"/>
          <w:color w:val="000000"/>
        </w:rPr>
        <w:t>ıt Örneği</w:t>
      </w:r>
      <w:r w:rsidRPr="000B65FA">
        <w:rPr>
          <w:rFonts w:ascii="Palatino Linotype" w:hAnsi="Palatino Linotype"/>
          <w:color w:val="000000"/>
        </w:rPr>
        <w:t>, </w:t>
      </w:r>
    </w:p>
    <w:p w14:paraId="4CC16CF8" w14:textId="77777777" w:rsidR="00685A23" w:rsidRPr="000B65FA" w:rsidRDefault="00685A23" w:rsidP="00685A23">
      <w:pPr>
        <w:pStyle w:val="NormalWeb"/>
        <w:numPr>
          <w:ilvl w:val="0"/>
          <w:numId w:val="4"/>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00000"/>
        </w:rPr>
        <w:t>T.C. Kimlik Fotokopisi,</w:t>
      </w:r>
    </w:p>
    <w:p w14:paraId="106702F8" w14:textId="77777777" w:rsidR="00685A23" w:rsidRPr="000B65FA" w:rsidRDefault="00685A23" w:rsidP="00685A23">
      <w:pPr>
        <w:pStyle w:val="NormalWeb"/>
        <w:numPr>
          <w:ilvl w:val="0"/>
          <w:numId w:val="4"/>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10000"/>
          <w:shd w:val="clear" w:color="auto" w:fill="FFFFFF"/>
        </w:rPr>
        <w:t>AİHM Yüksel Yalçınkaya / Türkiye Kararı Özeti</w:t>
      </w:r>
    </w:p>
    <w:p w14:paraId="5AE9A355" w14:textId="77777777" w:rsidR="00685A23" w:rsidRDefault="00685A23" w:rsidP="00685A23">
      <w:pPr>
        <w:pStyle w:val="NormalWeb"/>
        <w:spacing w:before="0" w:beforeAutospacing="0" w:after="0" w:afterAutospacing="0"/>
        <w:jc w:val="both"/>
        <w:textAlignment w:val="baseline"/>
        <w:rPr>
          <w:rFonts w:ascii="Palatino Linotype" w:hAnsi="Palatino Linotype"/>
          <w:color w:val="010000"/>
          <w:shd w:val="clear" w:color="auto" w:fill="FFFFFF"/>
        </w:rPr>
      </w:pPr>
    </w:p>
    <w:p w14:paraId="502BD968" w14:textId="5F72B100" w:rsidR="00685A23" w:rsidRDefault="00685A23" w:rsidP="00685A23">
      <w:pPr>
        <w:pStyle w:val="NormalWeb"/>
        <w:spacing w:before="0" w:beforeAutospacing="0" w:after="0" w:afterAutospacing="0"/>
        <w:ind w:firstLine="708"/>
        <w:jc w:val="both"/>
        <w:textAlignment w:val="baseline"/>
        <w:rPr>
          <w:rFonts w:ascii="Palatino Linotype" w:hAnsi="Palatino Linotype"/>
          <w:color w:val="010000"/>
          <w:shd w:val="clear" w:color="auto" w:fill="FFFFFF"/>
        </w:rPr>
      </w:pPr>
      <w:r w:rsidRPr="000B65FA">
        <w:rPr>
          <w:rFonts w:ascii="Palatino Linotype" w:hAnsi="Palatino Linotype"/>
          <w:b/>
          <w:bCs/>
          <w:color w:val="010000"/>
          <w:shd w:val="clear" w:color="auto" w:fill="FFFFFF"/>
        </w:rPr>
        <w:t>Dikkat:</w:t>
      </w:r>
      <w:r>
        <w:rPr>
          <w:rFonts w:ascii="Palatino Linotype" w:hAnsi="Palatino Linotype"/>
          <w:color w:val="010000"/>
          <w:shd w:val="clear" w:color="auto" w:fill="FFFFFF"/>
        </w:rPr>
        <w:t xml:space="preserve"> </w:t>
      </w:r>
      <w:r>
        <w:rPr>
          <w:rFonts w:ascii="Palatino Linotype" w:hAnsi="Palatino Linotype"/>
          <w:color w:val="010000"/>
          <w:highlight w:val="yellow"/>
          <w:shd w:val="clear" w:color="auto" w:fill="FFFFFF"/>
        </w:rPr>
        <w:t xml:space="preserve">Eşlerin </w:t>
      </w:r>
      <w:r w:rsidRPr="000B65FA">
        <w:rPr>
          <w:rFonts w:ascii="Palatino Linotype" w:hAnsi="Palatino Linotype"/>
          <w:color w:val="010000"/>
          <w:highlight w:val="yellow"/>
          <w:shd w:val="clear" w:color="auto" w:fill="FFFFFF"/>
        </w:rPr>
        <w:t xml:space="preserve">1 ve 2 numaralı belgeleri eklemeleri, başvuru yapan herkesin </w:t>
      </w:r>
      <w:r>
        <w:rPr>
          <w:rFonts w:ascii="Palatino Linotype" w:hAnsi="Palatino Linotype"/>
          <w:color w:val="010000"/>
          <w:highlight w:val="yellow"/>
          <w:shd w:val="clear" w:color="auto" w:fill="FFFFFF"/>
        </w:rPr>
        <w:t>3</w:t>
      </w:r>
      <w:r w:rsidRPr="000B65FA">
        <w:rPr>
          <w:rFonts w:ascii="Palatino Linotype" w:hAnsi="Palatino Linotype"/>
          <w:color w:val="010000"/>
          <w:highlight w:val="yellow"/>
          <w:shd w:val="clear" w:color="auto" w:fill="FFFFFF"/>
        </w:rPr>
        <w:t xml:space="preserve"> numaralı karar özetini de eklemesi gerekir.</w:t>
      </w:r>
    </w:p>
    <w:p w14:paraId="33173C40" w14:textId="77777777" w:rsidR="00685A23" w:rsidRDefault="00685A23" w:rsidP="006112FE">
      <w:pPr>
        <w:pStyle w:val="ListeParagraf"/>
        <w:tabs>
          <w:tab w:val="left" w:pos="3870"/>
        </w:tabs>
        <w:spacing w:line="360" w:lineRule="auto"/>
        <w:ind w:left="630" w:right="-378"/>
        <w:jc w:val="both"/>
        <w:rPr>
          <w:rFonts w:ascii="Palatino Linotype" w:hAnsi="Palatino Linotype" w:cs="Times New Roman"/>
          <w:bCs/>
          <w:color w:val="010000"/>
          <w:shd w:val="clear" w:color="auto" w:fill="FFFFFF"/>
        </w:rPr>
      </w:pPr>
    </w:p>
    <w:p w14:paraId="1ED84728" w14:textId="4DFD2E7B" w:rsidR="004063DF" w:rsidRPr="00161FAB" w:rsidRDefault="004063DF" w:rsidP="00161FAB">
      <w:pPr>
        <w:tabs>
          <w:tab w:val="left" w:pos="3870"/>
        </w:tabs>
        <w:spacing w:line="360" w:lineRule="auto"/>
        <w:ind w:right="-378"/>
        <w:jc w:val="both"/>
        <w:rPr>
          <w:rFonts w:ascii="Palatino Linotype" w:hAnsi="Palatino Linotype" w:cs="Times New Roman"/>
          <w:b/>
          <w:color w:val="010000"/>
          <w:u w:val="thick"/>
          <w:shd w:val="clear" w:color="auto" w:fill="FFFFFF"/>
        </w:rPr>
      </w:pPr>
    </w:p>
    <w:sectPr w:rsidR="004063DF" w:rsidRPr="00161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9589C"/>
    <w:multiLevelType w:val="multilevel"/>
    <w:tmpl w:val="F87A1F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D6782"/>
    <w:multiLevelType w:val="hybridMultilevel"/>
    <w:tmpl w:val="D3BC9120"/>
    <w:lvl w:ilvl="0" w:tplc="EBA47760">
      <w:start w:val="1"/>
      <w:numFmt w:val="decimal"/>
      <w:lvlText w:val="%1."/>
      <w:lvlJc w:val="left"/>
      <w:pPr>
        <w:ind w:left="1320" w:hanging="360"/>
      </w:pPr>
      <w:rPr>
        <w:b/>
        <w:bCs w:val="0"/>
        <w:i w:val="0"/>
        <w:iCs/>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2" w15:restartNumberingAfterBreak="0">
    <w:nsid w:val="591B1E3F"/>
    <w:multiLevelType w:val="hybridMultilevel"/>
    <w:tmpl w:val="D19CE7C8"/>
    <w:lvl w:ilvl="0" w:tplc="80C0D848">
      <w:start w:val="1"/>
      <w:numFmt w:val="decimal"/>
      <w:lvlText w:val="%1."/>
      <w:lvlJc w:val="left"/>
      <w:pPr>
        <w:ind w:left="720" w:hanging="360"/>
      </w:pPr>
      <w:rPr>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F20649"/>
    <w:multiLevelType w:val="hybridMultilevel"/>
    <w:tmpl w:val="1F1CE538"/>
    <w:lvl w:ilvl="0" w:tplc="0409000D">
      <w:start w:val="1"/>
      <w:numFmt w:val="bullet"/>
      <w:lvlText w:val=""/>
      <w:lvlJc w:val="left"/>
      <w:pPr>
        <w:ind w:left="1320" w:hanging="360"/>
      </w:pPr>
      <w:rPr>
        <w:rFonts w:ascii="Wingdings" w:hAnsi="Wingdings" w:hint="default"/>
        <w:b/>
        <w:bCs w:val="0"/>
        <w:i w:val="0"/>
        <w:iCs/>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num w:numId="1" w16cid:durableId="26836314">
    <w:abstractNumId w:val="2"/>
  </w:num>
  <w:num w:numId="2" w16cid:durableId="351878185">
    <w:abstractNumId w:val="1"/>
  </w:num>
  <w:num w:numId="3" w16cid:durableId="1557542335">
    <w:abstractNumId w:val="3"/>
  </w:num>
  <w:num w:numId="4" w16cid:durableId="41335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FB"/>
    <w:rsid w:val="0000224F"/>
    <w:rsid w:val="0000402A"/>
    <w:rsid w:val="00013342"/>
    <w:rsid w:val="00013B6E"/>
    <w:rsid w:val="00060B5D"/>
    <w:rsid w:val="0006254E"/>
    <w:rsid w:val="00074124"/>
    <w:rsid w:val="000D0E5C"/>
    <w:rsid w:val="00103BDA"/>
    <w:rsid w:val="00113171"/>
    <w:rsid w:val="0014471D"/>
    <w:rsid w:val="00161044"/>
    <w:rsid w:val="00161FAB"/>
    <w:rsid w:val="00196279"/>
    <w:rsid w:val="00221D24"/>
    <w:rsid w:val="00225111"/>
    <w:rsid w:val="00261695"/>
    <w:rsid w:val="00265EA3"/>
    <w:rsid w:val="00291AC1"/>
    <w:rsid w:val="002B543A"/>
    <w:rsid w:val="00382C15"/>
    <w:rsid w:val="003943FE"/>
    <w:rsid w:val="00397A8C"/>
    <w:rsid w:val="003A6719"/>
    <w:rsid w:val="003B099C"/>
    <w:rsid w:val="003B35EE"/>
    <w:rsid w:val="003B4A04"/>
    <w:rsid w:val="003E157F"/>
    <w:rsid w:val="003E17B1"/>
    <w:rsid w:val="004063DF"/>
    <w:rsid w:val="0041095E"/>
    <w:rsid w:val="00446E20"/>
    <w:rsid w:val="00454D63"/>
    <w:rsid w:val="00494009"/>
    <w:rsid w:val="0049707F"/>
    <w:rsid w:val="004A1B60"/>
    <w:rsid w:val="004E02D8"/>
    <w:rsid w:val="004E10A2"/>
    <w:rsid w:val="004E3A16"/>
    <w:rsid w:val="004F0048"/>
    <w:rsid w:val="00514C89"/>
    <w:rsid w:val="00533040"/>
    <w:rsid w:val="0059049D"/>
    <w:rsid w:val="005A714C"/>
    <w:rsid w:val="005B4E3A"/>
    <w:rsid w:val="006112FE"/>
    <w:rsid w:val="00654E7F"/>
    <w:rsid w:val="006760BE"/>
    <w:rsid w:val="00681B83"/>
    <w:rsid w:val="00685A23"/>
    <w:rsid w:val="00695C3D"/>
    <w:rsid w:val="006B71ED"/>
    <w:rsid w:val="006C1FA0"/>
    <w:rsid w:val="006D22DA"/>
    <w:rsid w:val="0070131E"/>
    <w:rsid w:val="007018E6"/>
    <w:rsid w:val="00720C35"/>
    <w:rsid w:val="00720D6B"/>
    <w:rsid w:val="007228F7"/>
    <w:rsid w:val="00741EAE"/>
    <w:rsid w:val="00745D10"/>
    <w:rsid w:val="00746227"/>
    <w:rsid w:val="00762D0A"/>
    <w:rsid w:val="00786E68"/>
    <w:rsid w:val="007A42D5"/>
    <w:rsid w:val="007C7CD2"/>
    <w:rsid w:val="007E0C87"/>
    <w:rsid w:val="00854D9B"/>
    <w:rsid w:val="00865AE8"/>
    <w:rsid w:val="00875E34"/>
    <w:rsid w:val="008A5BF2"/>
    <w:rsid w:val="008C15EA"/>
    <w:rsid w:val="008D5592"/>
    <w:rsid w:val="008E10E0"/>
    <w:rsid w:val="00924F0F"/>
    <w:rsid w:val="00926DF6"/>
    <w:rsid w:val="00927DB9"/>
    <w:rsid w:val="00940007"/>
    <w:rsid w:val="009437AD"/>
    <w:rsid w:val="00951289"/>
    <w:rsid w:val="0096567D"/>
    <w:rsid w:val="009815B6"/>
    <w:rsid w:val="0098439E"/>
    <w:rsid w:val="00987EF7"/>
    <w:rsid w:val="0099678B"/>
    <w:rsid w:val="009C3F9F"/>
    <w:rsid w:val="009C6702"/>
    <w:rsid w:val="009F0FBE"/>
    <w:rsid w:val="00A024B5"/>
    <w:rsid w:val="00A03E39"/>
    <w:rsid w:val="00A155C9"/>
    <w:rsid w:val="00A324F6"/>
    <w:rsid w:val="00A32596"/>
    <w:rsid w:val="00A5622E"/>
    <w:rsid w:val="00AB0224"/>
    <w:rsid w:val="00AC5724"/>
    <w:rsid w:val="00AE4031"/>
    <w:rsid w:val="00AE4292"/>
    <w:rsid w:val="00AE4F87"/>
    <w:rsid w:val="00AE78E5"/>
    <w:rsid w:val="00B64CC8"/>
    <w:rsid w:val="00B70657"/>
    <w:rsid w:val="00B74D34"/>
    <w:rsid w:val="00B76022"/>
    <w:rsid w:val="00B928E8"/>
    <w:rsid w:val="00BA5188"/>
    <w:rsid w:val="00BC24A5"/>
    <w:rsid w:val="00BE0158"/>
    <w:rsid w:val="00C112DC"/>
    <w:rsid w:val="00C47AC0"/>
    <w:rsid w:val="00C61BA4"/>
    <w:rsid w:val="00C70A1B"/>
    <w:rsid w:val="00C7633D"/>
    <w:rsid w:val="00CA18D9"/>
    <w:rsid w:val="00CA2C93"/>
    <w:rsid w:val="00CC1997"/>
    <w:rsid w:val="00CC34E0"/>
    <w:rsid w:val="00CD76E1"/>
    <w:rsid w:val="00CE2F22"/>
    <w:rsid w:val="00CE3B84"/>
    <w:rsid w:val="00D4338F"/>
    <w:rsid w:val="00D545E8"/>
    <w:rsid w:val="00D97B5F"/>
    <w:rsid w:val="00DA3607"/>
    <w:rsid w:val="00DB4AFB"/>
    <w:rsid w:val="00DB6220"/>
    <w:rsid w:val="00DC5A41"/>
    <w:rsid w:val="00DD4EB8"/>
    <w:rsid w:val="00E236ED"/>
    <w:rsid w:val="00E40DC4"/>
    <w:rsid w:val="00E62FD3"/>
    <w:rsid w:val="00E83C07"/>
    <w:rsid w:val="00E90F06"/>
    <w:rsid w:val="00EC7A30"/>
    <w:rsid w:val="00ED0C78"/>
    <w:rsid w:val="00EF1192"/>
    <w:rsid w:val="00F3397C"/>
    <w:rsid w:val="00F508CA"/>
    <w:rsid w:val="00F83122"/>
    <w:rsid w:val="00F95FC5"/>
    <w:rsid w:val="00FC70D0"/>
    <w:rsid w:val="00FD27E9"/>
    <w:rsid w:val="00FE698F"/>
    <w:rsid w:val="00FF5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E03C"/>
  <w15:chartTrackingRefBased/>
  <w15:docId w15:val="{55FC308F-69AB-4101-B181-4995C080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707F"/>
    <w:rPr>
      <w:color w:val="0563C1" w:themeColor="hyperlink"/>
      <w:u w:val="single"/>
    </w:rPr>
  </w:style>
  <w:style w:type="paragraph" w:styleId="ListeParagraf">
    <w:name w:val="List Paragraph"/>
    <w:basedOn w:val="Normal"/>
    <w:uiPriority w:val="34"/>
    <w:qFormat/>
    <w:rsid w:val="00225111"/>
    <w:pPr>
      <w:ind w:left="720"/>
      <w:contextualSpacing/>
    </w:pPr>
  </w:style>
  <w:style w:type="paragraph" w:styleId="NormalWeb">
    <w:name w:val="Normal (Web)"/>
    <w:basedOn w:val="Normal"/>
    <w:uiPriority w:val="99"/>
    <w:unhideWhenUsed/>
    <w:rsid w:val="00685A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3527">
      <w:bodyDiv w:val="1"/>
      <w:marLeft w:val="0"/>
      <w:marRight w:val="0"/>
      <w:marTop w:val="0"/>
      <w:marBottom w:val="0"/>
      <w:divBdr>
        <w:top w:val="none" w:sz="0" w:space="0" w:color="auto"/>
        <w:left w:val="none" w:sz="0" w:space="0" w:color="auto"/>
        <w:bottom w:val="none" w:sz="0" w:space="0" w:color="auto"/>
        <w:right w:val="none" w:sz="0" w:space="0" w:color="auto"/>
      </w:divBdr>
    </w:div>
    <w:div w:id="21151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A74B-8516-4CA1-8871-F5B9F9C5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6945</Words>
  <Characters>39591</Characters>
  <Application>Microsoft Office Word</Application>
  <DocSecurity>0</DocSecurity>
  <Lines>329</Lines>
  <Paragraphs>92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Sıbıç, Salih (Stud. FdR)</cp:lastModifiedBy>
  <cp:revision>4</cp:revision>
  <dcterms:created xsi:type="dcterms:W3CDTF">2023-10-22T08:48:00Z</dcterms:created>
  <dcterms:modified xsi:type="dcterms:W3CDTF">2023-12-21T20:40:00Z</dcterms:modified>
</cp:coreProperties>
</file>